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83" w:rsidRDefault="00C43683" w:rsidP="00C43683">
      <w:pPr>
        <w:widowControl/>
        <w:spacing w:line="600" w:lineRule="exact"/>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附表</w:t>
      </w:r>
      <w:r>
        <w:rPr>
          <w:rFonts w:ascii="Times New Roman" w:eastAsia="黑体" w:hAnsi="Times New Roman"/>
          <w:color w:val="000000" w:themeColor="text1"/>
          <w:kern w:val="0"/>
          <w:sz w:val="32"/>
          <w:szCs w:val="32"/>
        </w:rPr>
        <w:t>2</w:t>
      </w:r>
    </w:p>
    <w:p w:rsidR="00C43683" w:rsidRDefault="00C43683" w:rsidP="00C43683">
      <w:pPr>
        <w:widowControl/>
        <w:spacing w:beforeLines="100" w:line="600" w:lineRule="exact"/>
        <w:jc w:val="center"/>
        <w:rPr>
          <w:rFonts w:ascii="Times New Roman" w:eastAsia="方正小标宋简体" w:hAnsi="Times New Roman"/>
          <w:b/>
          <w:color w:val="000000" w:themeColor="text1"/>
          <w:kern w:val="0"/>
          <w:sz w:val="44"/>
          <w:szCs w:val="44"/>
        </w:rPr>
      </w:pPr>
      <w:r>
        <w:rPr>
          <w:rFonts w:ascii="Times New Roman" w:eastAsia="方正小标宋简体" w:hAnsi="Times New Roman"/>
          <w:b/>
          <w:color w:val="000000" w:themeColor="text1"/>
          <w:kern w:val="0"/>
          <w:sz w:val="44"/>
          <w:szCs w:val="44"/>
        </w:rPr>
        <w:t>行政监督部门对政府采购项目代理活动</w:t>
      </w:r>
    </w:p>
    <w:p w:rsidR="00C43683" w:rsidRDefault="00C43683" w:rsidP="00C43683">
      <w:pPr>
        <w:widowControl/>
        <w:spacing w:line="600" w:lineRule="exact"/>
        <w:jc w:val="center"/>
        <w:rPr>
          <w:rFonts w:ascii="Times New Roman" w:eastAsia="方正小标宋简体" w:hAnsi="Times New Roman"/>
          <w:b/>
          <w:color w:val="000000" w:themeColor="text1"/>
          <w:kern w:val="0"/>
          <w:sz w:val="44"/>
          <w:szCs w:val="44"/>
        </w:rPr>
      </w:pPr>
      <w:r>
        <w:rPr>
          <w:rFonts w:ascii="Times New Roman" w:eastAsia="方正小标宋简体" w:hAnsi="Times New Roman"/>
          <w:b/>
          <w:color w:val="000000" w:themeColor="text1"/>
          <w:kern w:val="0"/>
          <w:sz w:val="44"/>
          <w:szCs w:val="44"/>
        </w:rPr>
        <w:t>评价内容及计分标准</w:t>
      </w:r>
    </w:p>
    <w:p w:rsidR="00C43683" w:rsidRDefault="00C43683" w:rsidP="00C43683">
      <w:pPr>
        <w:widowControl/>
        <w:spacing w:beforeLines="100" w:afterLines="50" w:line="600" w:lineRule="exact"/>
        <w:jc w:val="center"/>
        <w:rPr>
          <w:rFonts w:ascii="Times New Roman" w:hAnsi="Times New Roman"/>
          <w:b/>
          <w:bCs/>
          <w:color w:val="000000" w:themeColor="text1"/>
          <w:kern w:val="0"/>
          <w:sz w:val="24"/>
        </w:rPr>
      </w:pPr>
      <w:r>
        <w:rPr>
          <w:rFonts w:ascii="Times New Roman" w:hAnsi="Times New Roman"/>
          <w:b/>
          <w:bCs/>
          <w:color w:val="000000" w:themeColor="text1"/>
          <w:kern w:val="0"/>
          <w:szCs w:val="21"/>
        </w:rPr>
        <w:t>（评价单位：</w:t>
      </w:r>
      <w:r>
        <w:rPr>
          <w:rFonts w:ascii="Times New Roman" w:hAnsi="Times New Roman"/>
          <w:b/>
          <w:bCs/>
          <w:color w:val="000000" w:themeColor="text1"/>
          <w:kern w:val="0"/>
          <w:sz w:val="24"/>
        </w:rPr>
        <w:t>）</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84"/>
        <w:gridCol w:w="1405"/>
        <w:gridCol w:w="3879"/>
        <w:gridCol w:w="14"/>
        <w:gridCol w:w="38"/>
        <w:gridCol w:w="1134"/>
        <w:gridCol w:w="1276"/>
        <w:gridCol w:w="992"/>
      </w:tblGrid>
      <w:tr w:rsidR="00C43683" w:rsidTr="00C77307">
        <w:trPr>
          <w:cantSplit/>
          <w:trHeight w:val="567"/>
          <w:jc w:val="center"/>
        </w:trPr>
        <w:tc>
          <w:tcPr>
            <w:tcW w:w="9322" w:type="dxa"/>
            <w:gridSpan w:val="8"/>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color w:val="000000" w:themeColor="text1"/>
                <w:kern w:val="0"/>
                <w:szCs w:val="21"/>
              </w:rPr>
            </w:pPr>
            <w:r>
              <w:rPr>
                <w:rFonts w:ascii="Times New Roman" w:hAnsi="Times New Roman"/>
                <w:b/>
                <w:bCs/>
                <w:color w:val="000000" w:themeColor="text1"/>
                <w:kern w:val="0"/>
                <w:szCs w:val="21"/>
              </w:rPr>
              <w:t>代理机构名称：</w:t>
            </w:r>
          </w:p>
        </w:tc>
      </w:tr>
      <w:tr w:rsidR="00C43683" w:rsidTr="00C77307">
        <w:trPr>
          <w:cantSplit/>
          <w:trHeight w:val="567"/>
          <w:jc w:val="center"/>
        </w:trPr>
        <w:tc>
          <w:tcPr>
            <w:tcW w:w="9322" w:type="dxa"/>
            <w:gridSpan w:val="8"/>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bCs/>
                <w:color w:val="000000" w:themeColor="text1"/>
                <w:kern w:val="0"/>
                <w:szCs w:val="21"/>
              </w:rPr>
            </w:pPr>
            <w:r>
              <w:rPr>
                <w:rFonts w:ascii="Times New Roman" w:hAnsi="Times New Roman"/>
                <w:b/>
                <w:bCs/>
                <w:color w:val="000000" w:themeColor="text1"/>
                <w:kern w:val="0"/>
                <w:szCs w:val="21"/>
              </w:rPr>
              <w:t>项目名称：</w:t>
            </w:r>
          </w:p>
        </w:tc>
      </w:tr>
      <w:tr w:rsidR="00C43683" w:rsidTr="00C77307">
        <w:trPr>
          <w:cantSplit/>
          <w:trHeight w:val="567"/>
          <w:jc w:val="center"/>
        </w:trPr>
        <w:tc>
          <w:tcPr>
            <w:tcW w:w="584"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序号</w:t>
            </w:r>
          </w:p>
        </w:tc>
        <w:tc>
          <w:tcPr>
            <w:tcW w:w="1405"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类别</w:t>
            </w:r>
          </w:p>
        </w:tc>
        <w:tc>
          <w:tcPr>
            <w:tcW w:w="3879"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评价内容</w:t>
            </w:r>
          </w:p>
        </w:tc>
        <w:tc>
          <w:tcPr>
            <w:tcW w:w="1186" w:type="dxa"/>
            <w:gridSpan w:val="3"/>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扣分标准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扣分点</w:t>
            </w: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计分</w:t>
            </w:r>
          </w:p>
        </w:tc>
      </w:tr>
      <w:tr w:rsidR="00C43683" w:rsidTr="00C77307">
        <w:trPr>
          <w:cantSplit/>
          <w:trHeight w:val="567"/>
          <w:jc w:val="center"/>
        </w:trPr>
        <w:tc>
          <w:tcPr>
            <w:tcW w:w="584"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1</w:t>
            </w:r>
          </w:p>
        </w:tc>
        <w:tc>
          <w:tcPr>
            <w:tcW w:w="8738" w:type="dxa"/>
            <w:gridSpan w:val="7"/>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不良行为</w:t>
            </w:r>
            <w:r>
              <w:rPr>
                <w:rFonts w:ascii="Times New Roman" w:hAnsi="Times New Roman"/>
                <w:b/>
                <w:color w:val="000000" w:themeColor="text1"/>
                <w:kern w:val="0"/>
                <w:sz w:val="18"/>
                <w:szCs w:val="18"/>
              </w:rPr>
              <w:t>采用扣分制，</w:t>
            </w:r>
            <w:r>
              <w:rPr>
                <w:rFonts w:ascii="Times New Roman" w:hAnsi="Times New Roman"/>
                <w:b/>
                <w:bCs/>
                <w:color w:val="000000" w:themeColor="text1"/>
                <w:kern w:val="0"/>
                <w:sz w:val="18"/>
                <w:szCs w:val="18"/>
              </w:rPr>
              <w:t>分为</w:t>
            </w:r>
            <w:r>
              <w:rPr>
                <w:rFonts w:ascii="Times New Roman" w:hAnsi="Times New Roman"/>
                <w:b/>
                <w:color w:val="000000" w:themeColor="text1"/>
                <w:kern w:val="0"/>
                <w:sz w:val="18"/>
                <w:szCs w:val="18"/>
              </w:rPr>
              <w:t>：特别严重不良行为、严重不良行为、一般不良行为、</w:t>
            </w:r>
            <w:r>
              <w:rPr>
                <w:rFonts w:ascii="Times New Roman" w:hAnsi="Times New Roman" w:hint="eastAsia"/>
                <w:b/>
                <w:color w:val="000000" w:themeColor="text1"/>
                <w:kern w:val="0"/>
                <w:sz w:val="18"/>
                <w:szCs w:val="18"/>
              </w:rPr>
              <w:t>轻微不良行为</w:t>
            </w:r>
          </w:p>
        </w:tc>
      </w:tr>
      <w:tr w:rsidR="00C43683" w:rsidTr="00C77307">
        <w:trPr>
          <w:cantSplit/>
          <w:trHeight w:val="567"/>
          <w:jc w:val="center"/>
        </w:trPr>
        <w:tc>
          <w:tcPr>
            <w:tcW w:w="584" w:type="dxa"/>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1.1</w:t>
            </w:r>
          </w:p>
        </w:tc>
        <w:tc>
          <w:tcPr>
            <w:tcW w:w="1405" w:type="dxa"/>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特别严重不良行为</w:t>
            </w:r>
          </w:p>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w:t>
            </w:r>
            <w:r>
              <w:rPr>
                <w:rFonts w:ascii="Times New Roman" w:hAnsi="Times New Roman"/>
                <w:b/>
                <w:bCs/>
                <w:color w:val="000000" w:themeColor="text1"/>
                <w:kern w:val="0"/>
                <w:sz w:val="18"/>
                <w:szCs w:val="18"/>
              </w:rPr>
              <w:t>共</w:t>
            </w:r>
            <w:r>
              <w:rPr>
                <w:rFonts w:ascii="Times New Roman" w:hAnsi="Times New Roman"/>
                <w:b/>
                <w:bCs/>
                <w:color w:val="000000" w:themeColor="text1"/>
                <w:kern w:val="0"/>
                <w:sz w:val="18"/>
                <w:szCs w:val="18"/>
              </w:rPr>
              <w:t>9</w:t>
            </w:r>
            <w:r>
              <w:rPr>
                <w:rFonts w:ascii="Times New Roman" w:hAnsi="Times New Roman"/>
                <w:b/>
                <w:bCs/>
                <w:color w:val="000000" w:themeColor="text1"/>
                <w:kern w:val="0"/>
                <w:sz w:val="18"/>
                <w:szCs w:val="18"/>
              </w:rPr>
              <w:t>条</w:t>
            </w:r>
            <w:r>
              <w:rPr>
                <w:rFonts w:ascii="Times New Roman" w:hAnsi="Times New Roman"/>
                <w:b/>
                <w:bCs/>
                <w:color w:val="000000" w:themeColor="text1"/>
                <w:kern w:val="0"/>
                <w:sz w:val="18"/>
                <w:szCs w:val="18"/>
              </w:rPr>
              <w:t>)</w:t>
            </w: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bCs/>
                <w:color w:val="000000" w:themeColor="text1"/>
                <w:kern w:val="0"/>
                <w:sz w:val="18"/>
                <w:szCs w:val="18"/>
              </w:rPr>
              <w:t>被有关部门查实以行贿、提供回扣或者给予其他不正当利益等手段获取政府采购代理业务的</w:t>
            </w:r>
          </w:p>
        </w:tc>
        <w:tc>
          <w:tcPr>
            <w:tcW w:w="1172" w:type="dxa"/>
            <w:gridSpan w:val="2"/>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每发生一起扣</w:t>
            </w:r>
            <w:r>
              <w:rPr>
                <w:rFonts w:ascii="Times New Roman" w:hAnsi="Times New Roman"/>
                <w:bCs/>
                <w:color w:val="000000" w:themeColor="text1"/>
                <w:kern w:val="0"/>
                <w:sz w:val="18"/>
                <w:szCs w:val="18"/>
              </w:rPr>
              <w:t>40</w:t>
            </w:r>
            <w:r>
              <w:rPr>
                <w:rFonts w:ascii="Times New Roman" w:hAnsi="Times New Roman"/>
                <w:bCs/>
                <w:color w:val="000000" w:themeColor="text1"/>
                <w:kern w:val="0"/>
                <w:sz w:val="18"/>
                <w:szCs w:val="18"/>
              </w:rPr>
              <w:t>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w:t>
            </w:r>
            <w:r>
              <w:rPr>
                <w:rFonts w:ascii="Times New Roman" w:hAnsi="Times New Roman"/>
                <w:color w:val="000000" w:themeColor="text1"/>
                <w:kern w:val="0"/>
                <w:sz w:val="18"/>
                <w:szCs w:val="18"/>
              </w:rPr>
              <w:t>在采购过程中接受贿赂或者获取其他不正当利益</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w:t>
            </w:r>
            <w:r>
              <w:rPr>
                <w:rFonts w:ascii="Times New Roman" w:hAnsi="Times New Roman"/>
                <w:bCs/>
                <w:color w:val="000000" w:themeColor="text1"/>
                <w:kern w:val="0"/>
                <w:sz w:val="18"/>
                <w:szCs w:val="18"/>
              </w:rPr>
              <w:t>泄露应当保密的与政府采购活动有关的情况和资料的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w:t>
            </w:r>
            <w:r>
              <w:rPr>
                <w:rFonts w:ascii="Times New Roman" w:hAnsi="Times New Roman"/>
                <w:color w:val="000000" w:themeColor="text1"/>
                <w:kern w:val="0"/>
                <w:sz w:val="18"/>
                <w:szCs w:val="18"/>
              </w:rPr>
              <w:t>与采购人、供应商有利害关系或串通，损害国家利益、社会公共利益或者他人合法权益</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w:t>
            </w:r>
            <w:r>
              <w:rPr>
                <w:rFonts w:ascii="Times New Roman" w:hAnsi="Times New Roman"/>
                <w:bCs/>
                <w:color w:val="000000" w:themeColor="text1"/>
                <w:kern w:val="0"/>
                <w:sz w:val="18"/>
                <w:szCs w:val="18"/>
              </w:rPr>
              <w:t>与所代理的政府采购项目的供应商有隶属关系、合作经营关系以及其他利益关系的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6.</w:t>
            </w:r>
            <w:r>
              <w:rPr>
                <w:rFonts w:ascii="Times New Roman" w:hAnsi="Times New Roman"/>
                <w:bCs/>
                <w:color w:val="000000" w:themeColor="text1"/>
                <w:kern w:val="0"/>
                <w:sz w:val="18"/>
                <w:szCs w:val="18"/>
              </w:rPr>
              <w:t>在所代理的招标项目中投标、代理投标或者向该项目供应商提供咨询、编制投标文件的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455"/>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w:t>
            </w:r>
            <w:r>
              <w:rPr>
                <w:rFonts w:ascii="Times New Roman" w:hAnsi="Times New Roman"/>
                <w:bCs/>
                <w:color w:val="000000" w:themeColor="text1"/>
                <w:kern w:val="0"/>
                <w:sz w:val="18"/>
                <w:szCs w:val="18"/>
              </w:rPr>
              <w:t>伪造、变造、隐匿、销毁应保存的采购文件的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w:t>
            </w:r>
            <w:r>
              <w:rPr>
                <w:rFonts w:ascii="Times New Roman" w:hAnsi="Times New Roman"/>
                <w:bCs/>
                <w:color w:val="000000" w:themeColor="text1"/>
                <w:kern w:val="0"/>
                <w:sz w:val="18"/>
                <w:szCs w:val="18"/>
              </w:rPr>
              <w:t>对有关行政监督部门依法责令改正的决定拒不执行或者以弄虚作假方式隐瞒真相的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10"/>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9.</w:t>
            </w:r>
            <w:r>
              <w:rPr>
                <w:rFonts w:ascii="Times New Roman" w:hAnsi="Times New Roman"/>
                <w:bCs/>
                <w:color w:val="000000" w:themeColor="text1"/>
                <w:kern w:val="0"/>
                <w:sz w:val="18"/>
                <w:szCs w:val="18"/>
              </w:rPr>
              <w:t>在政府采购活动中发生其他严重违法违规行为的，</w:t>
            </w:r>
            <w:r>
              <w:rPr>
                <w:rFonts w:ascii="Times New Roman" w:hAnsi="Times New Roman"/>
                <w:color w:val="000000" w:themeColor="text1"/>
                <w:kern w:val="0"/>
                <w:sz w:val="18"/>
                <w:szCs w:val="18"/>
              </w:rPr>
              <w:t>被财政部门依法予以行政处罚或通报批评的，或</w:t>
            </w:r>
            <w:r>
              <w:rPr>
                <w:rFonts w:ascii="Times New Roman" w:hAnsi="Times New Roman"/>
                <w:bCs/>
                <w:color w:val="000000" w:themeColor="text1"/>
                <w:kern w:val="0"/>
                <w:sz w:val="18"/>
                <w:szCs w:val="18"/>
              </w:rPr>
              <w:t>被相关部门认定的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10"/>
          <w:jc w:val="center"/>
        </w:trPr>
        <w:tc>
          <w:tcPr>
            <w:tcW w:w="584" w:type="dxa"/>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1.2</w:t>
            </w:r>
          </w:p>
        </w:tc>
        <w:tc>
          <w:tcPr>
            <w:tcW w:w="1405" w:type="dxa"/>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严重不良行为</w:t>
            </w:r>
          </w:p>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color w:val="000000" w:themeColor="text1"/>
                <w:kern w:val="0"/>
                <w:sz w:val="18"/>
                <w:szCs w:val="18"/>
              </w:rPr>
              <w:t>（共</w:t>
            </w:r>
            <w:r>
              <w:rPr>
                <w:rFonts w:ascii="Times New Roman" w:hAnsi="Times New Roman"/>
                <w:b/>
                <w:color w:val="000000" w:themeColor="text1"/>
                <w:kern w:val="0"/>
                <w:sz w:val="18"/>
                <w:szCs w:val="18"/>
              </w:rPr>
              <w:t>5</w:t>
            </w:r>
            <w:r>
              <w:rPr>
                <w:rFonts w:ascii="Times New Roman" w:hAnsi="Times New Roman"/>
                <w:b/>
                <w:color w:val="000000" w:themeColor="text1"/>
                <w:kern w:val="0"/>
                <w:sz w:val="18"/>
                <w:szCs w:val="18"/>
              </w:rPr>
              <w:t>条）</w:t>
            </w: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bCs/>
                <w:color w:val="000000" w:themeColor="text1"/>
                <w:kern w:val="0"/>
                <w:sz w:val="18"/>
                <w:szCs w:val="18"/>
              </w:rPr>
              <w:t>没有依照项目审批部门的</w:t>
            </w:r>
            <w:r>
              <w:rPr>
                <w:rFonts w:ascii="Times New Roman" w:hAnsi="Times New Roman" w:hint="eastAsia"/>
                <w:bCs/>
                <w:color w:val="000000" w:themeColor="text1"/>
                <w:kern w:val="0"/>
                <w:sz w:val="18"/>
                <w:szCs w:val="18"/>
              </w:rPr>
              <w:t>采购</w:t>
            </w:r>
            <w:r>
              <w:rPr>
                <w:rFonts w:ascii="Times New Roman" w:hAnsi="Times New Roman"/>
                <w:bCs/>
                <w:color w:val="000000" w:themeColor="text1"/>
                <w:kern w:val="0"/>
                <w:sz w:val="18"/>
                <w:szCs w:val="18"/>
              </w:rPr>
              <w:t>方式进行招标的，依法公开</w:t>
            </w:r>
            <w:r>
              <w:rPr>
                <w:rFonts w:ascii="Times New Roman" w:hAnsi="Times New Roman" w:hint="eastAsia"/>
                <w:bCs/>
                <w:color w:val="000000" w:themeColor="text1"/>
                <w:kern w:val="0"/>
                <w:sz w:val="18"/>
                <w:szCs w:val="18"/>
              </w:rPr>
              <w:t>招标</w:t>
            </w:r>
            <w:r>
              <w:rPr>
                <w:rFonts w:ascii="Times New Roman" w:hAnsi="Times New Roman"/>
                <w:bCs/>
                <w:color w:val="000000" w:themeColor="text1"/>
                <w:kern w:val="0"/>
                <w:sz w:val="18"/>
                <w:szCs w:val="18"/>
              </w:rPr>
              <w:t>的项目，未按规定在公共资源交易中心进行招标的</w:t>
            </w:r>
          </w:p>
        </w:tc>
        <w:tc>
          <w:tcPr>
            <w:tcW w:w="1172" w:type="dxa"/>
            <w:gridSpan w:val="2"/>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w:t>
            </w:r>
          </w:p>
          <w:p w:rsidR="00C43683" w:rsidRDefault="00C43683" w:rsidP="00C77307">
            <w:pPr>
              <w:widowControl/>
              <w:spacing w:line="240" w:lineRule="exact"/>
              <w:jc w:val="center"/>
              <w:rPr>
                <w:rFonts w:ascii="Times New Roman" w:hAnsi="Times New Roman"/>
                <w:bCs/>
                <w:color w:val="000000" w:themeColor="text1"/>
                <w:kern w:val="0"/>
                <w:sz w:val="18"/>
                <w:szCs w:val="18"/>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20</w:t>
            </w:r>
            <w:r>
              <w:rPr>
                <w:rFonts w:ascii="Times New Roman" w:hAnsi="Times New Roman"/>
                <w:color w:val="000000" w:themeColor="text1"/>
                <w:kern w:val="0"/>
                <w:sz w:val="18"/>
                <w:szCs w:val="18"/>
              </w:rPr>
              <w:t>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10"/>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bCs/>
                <w:color w:val="000000" w:themeColor="text1"/>
                <w:kern w:val="0"/>
                <w:sz w:val="18"/>
                <w:szCs w:val="18"/>
              </w:rPr>
              <w:t>因采购文件编制不严谨或其他失误引发争议导致采购活动无法进行的或造成严重不良后果的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444"/>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bCs/>
                <w:color w:val="000000" w:themeColor="text1"/>
                <w:kern w:val="0"/>
                <w:sz w:val="18"/>
                <w:szCs w:val="18"/>
              </w:rPr>
              <w:t>3.</w:t>
            </w:r>
            <w:r>
              <w:rPr>
                <w:rFonts w:ascii="Times New Roman" w:hAnsi="Times New Roman"/>
                <w:bCs/>
                <w:color w:val="000000" w:themeColor="text1"/>
                <w:kern w:val="0"/>
                <w:sz w:val="18"/>
                <w:szCs w:val="18"/>
              </w:rPr>
              <w:t>遗失应当保存的招投标资料的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410"/>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bCs/>
                <w:color w:val="000000" w:themeColor="text1"/>
                <w:kern w:val="0"/>
                <w:sz w:val="18"/>
                <w:szCs w:val="18"/>
              </w:rPr>
              <w:t>4.</w:t>
            </w:r>
            <w:r>
              <w:rPr>
                <w:rFonts w:ascii="Times New Roman" w:hAnsi="Times New Roman"/>
                <w:bCs/>
                <w:color w:val="000000" w:themeColor="text1"/>
                <w:kern w:val="0"/>
                <w:sz w:val="18"/>
                <w:szCs w:val="18"/>
              </w:rPr>
              <w:t>在信用评价、监督检查时弄虚作假的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w:t>
            </w:r>
            <w:r>
              <w:rPr>
                <w:rFonts w:ascii="Times New Roman" w:hAnsi="Times New Roman"/>
                <w:color w:val="000000" w:themeColor="text1"/>
                <w:kern w:val="0"/>
                <w:sz w:val="18"/>
                <w:szCs w:val="18"/>
              </w:rPr>
              <w:t>拒不协助、配合有关行政监督部门（或机构）的监督、检查</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lastRenderedPageBreak/>
              <w:t>1.3</w:t>
            </w:r>
          </w:p>
        </w:tc>
        <w:tc>
          <w:tcPr>
            <w:tcW w:w="1405" w:type="dxa"/>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hint="eastAsia"/>
                <w:b/>
                <w:color w:val="000000" w:themeColor="text1"/>
                <w:spacing w:val="-10"/>
                <w:kern w:val="0"/>
                <w:sz w:val="18"/>
                <w:szCs w:val="18"/>
              </w:rPr>
              <w:t>一般</w:t>
            </w:r>
            <w:r>
              <w:rPr>
                <w:rFonts w:ascii="Times New Roman" w:hAnsi="Times New Roman"/>
                <w:b/>
                <w:color w:val="000000" w:themeColor="text1"/>
                <w:spacing w:val="-10"/>
                <w:kern w:val="0"/>
                <w:sz w:val="18"/>
                <w:szCs w:val="18"/>
              </w:rPr>
              <w:t>不良行为</w:t>
            </w:r>
            <w:r>
              <w:rPr>
                <w:rFonts w:ascii="Times New Roman" w:hAnsi="Times New Roman"/>
                <w:b/>
                <w:color w:val="000000" w:themeColor="text1"/>
                <w:kern w:val="0"/>
                <w:sz w:val="18"/>
                <w:szCs w:val="18"/>
              </w:rPr>
              <w:t>（共</w:t>
            </w:r>
            <w:r>
              <w:rPr>
                <w:rFonts w:ascii="Times New Roman" w:hAnsi="Times New Roman"/>
                <w:b/>
                <w:color w:val="000000" w:themeColor="text1"/>
                <w:kern w:val="0"/>
                <w:sz w:val="18"/>
                <w:szCs w:val="18"/>
              </w:rPr>
              <w:t>8</w:t>
            </w:r>
            <w:r>
              <w:rPr>
                <w:rFonts w:ascii="Times New Roman" w:hAnsi="Times New Roman"/>
                <w:b/>
                <w:color w:val="000000" w:themeColor="text1"/>
                <w:kern w:val="0"/>
                <w:sz w:val="18"/>
                <w:szCs w:val="18"/>
              </w:rPr>
              <w:t>条）</w:t>
            </w: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在代理过程中承接同一项目的供应商咨询业务</w:t>
            </w:r>
            <w:r>
              <w:rPr>
                <w:rFonts w:ascii="Times New Roman" w:hAnsi="Times New Roman" w:hint="eastAsia"/>
                <w:color w:val="000000" w:themeColor="text1"/>
                <w:kern w:val="0"/>
                <w:sz w:val="18"/>
                <w:szCs w:val="18"/>
              </w:rPr>
              <w:t>的</w:t>
            </w:r>
          </w:p>
        </w:tc>
        <w:tc>
          <w:tcPr>
            <w:tcW w:w="1172" w:type="dxa"/>
            <w:gridSpan w:val="2"/>
            <w:vMerge w:val="restart"/>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w:t>
            </w:r>
          </w:p>
          <w:p w:rsidR="00C43683" w:rsidRDefault="00C43683" w:rsidP="00C77307">
            <w:pPr>
              <w:widowControl/>
              <w:spacing w:line="240" w:lineRule="exact"/>
              <w:jc w:val="center"/>
              <w:rPr>
                <w:rFonts w:ascii="Times New Roman" w:hAnsi="Times New Roman"/>
                <w:bCs/>
                <w:color w:val="000000" w:themeColor="text1"/>
                <w:kern w:val="0"/>
                <w:sz w:val="18"/>
                <w:szCs w:val="18"/>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rPr>
              <w:t>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394"/>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提供虚假材料</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color w:val="000000" w:themeColor="text1"/>
                <w:kern w:val="0"/>
                <w:sz w:val="18"/>
                <w:szCs w:val="18"/>
              </w:rPr>
              <w:t>其他失误引发争议造成采购活动延误或无法进行</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339"/>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color w:val="000000" w:themeColor="text1"/>
                <w:kern w:val="0"/>
                <w:sz w:val="18"/>
                <w:szCs w:val="18"/>
              </w:rPr>
              <w:t>帮助采购人规避招标或肢解发包</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w:t>
            </w:r>
            <w:r>
              <w:rPr>
                <w:rFonts w:ascii="Times New Roman" w:hAnsi="Times New Roman" w:hint="eastAsia"/>
                <w:bCs/>
                <w:color w:val="000000" w:themeColor="text1"/>
                <w:kern w:val="0"/>
                <w:sz w:val="18"/>
                <w:szCs w:val="18"/>
              </w:rPr>
              <w:t>无正当理由推迟开标或不组织开标或专职人员迟到不能按时开标以及擅自中途停止项目的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ind w:leftChars="-1" w:left="-2"/>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6.</w:t>
            </w:r>
            <w:r>
              <w:rPr>
                <w:rFonts w:ascii="Times New Roman" w:hAnsi="Times New Roman" w:hint="eastAsia"/>
                <w:color w:val="000000" w:themeColor="text1"/>
                <w:kern w:val="0"/>
                <w:sz w:val="18"/>
                <w:szCs w:val="18"/>
              </w:rPr>
              <w:t>被行政监督部门通报批评，或警告，或在行政监督部门处理投诉活动过程中不积极配合，或者和当事人串通影响投诉处理的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w:t>
            </w:r>
            <w:r>
              <w:rPr>
                <w:rFonts w:ascii="Times New Roman" w:hAnsi="Times New Roman"/>
                <w:bCs/>
                <w:color w:val="000000" w:themeColor="text1"/>
                <w:kern w:val="0"/>
                <w:sz w:val="18"/>
                <w:szCs w:val="18"/>
              </w:rPr>
              <w:t>不受理或不按规定受理异议或异议处理不按照规定进行的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color w:val="000000" w:themeColor="text1"/>
                <w:kern w:val="0"/>
                <w:sz w:val="18"/>
                <w:szCs w:val="18"/>
              </w:rPr>
              <w:t>8.</w:t>
            </w:r>
            <w:r>
              <w:rPr>
                <w:rFonts w:ascii="Times New Roman" w:hAnsi="Times New Roman"/>
                <w:color w:val="000000" w:themeColor="text1"/>
                <w:kern w:val="0"/>
                <w:sz w:val="18"/>
                <w:szCs w:val="18"/>
              </w:rPr>
              <w:t>没有依照项目审批部门的采购方式进行采购或确需采购进口产品的，未在获得市财政部门审核、市政府批准后开展政府采购活动</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Cs/>
                <w:color w:val="000000" w:themeColor="text1"/>
                <w:kern w:val="0"/>
                <w:sz w:val="18"/>
                <w:szCs w:val="18"/>
              </w:rPr>
            </w:pPr>
          </w:p>
        </w:tc>
      </w:tr>
      <w:tr w:rsidR="00C43683" w:rsidTr="00C77307">
        <w:trPr>
          <w:cantSplit/>
          <w:trHeight w:val="567"/>
          <w:jc w:val="center"/>
        </w:trPr>
        <w:tc>
          <w:tcPr>
            <w:tcW w:w="584" w:type="dxa"/>
            <w:vMerge w:val="restart"/>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1.4</w:t>
            </w:r>
          </w:p>
        </w:tc>
        <w:tc>
          <w:tcPr>
            <w:tcW w:w="1405" w:type="dxa"/>
            <w:vMerge w:val="restart"/>
            <w:vAlign w:val="center"/>
          </w:tcPr>
          <w:p w:rsidR="00C43683" w:rsidRDefault="00C43683" w:rsidP="00C77307">
            <w:pPr>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轻微</w:t>
            </w:r>
            <w:r>
              <w:rPr>
                <w:rFonts w:ascii="Times New Roman" w:hAnsi="Times New Roman"/>
                <w:b/>
                <w:color w:val="000000" w:themeColor="text1"/>
                <w:kern w:val="0"/>
                <w:sz w:val="18"/>
                <w:szCs w:val="18"/>
              </w:rPr>
              <w:t>不良行为</w:t>
            </w:r>
          </w:p>
          <w:p w:rsidR="00C43683" w:rsidRDefault="00C43683" w:rsidP="00C77307">
            <w:pPr>
              <w:spacing w:line="240" w:lineRule="exact"/>
              <w:ind w:rightChars="-54" w:right="-113"/>
              <w:jc w:val="center"/>
              <w:rPr>
                <w:rFonts w:ascii="Times New Roman" w:hAnsi="Times New Roman"/>
                <w:color w:val="000000" w:themeColor="text1"/>
                <w:kern w:val="0"/>
                <w:sz w:val="18"/>
                <w:szCs w:val="18"/>
              </w:rPr>
            </w:pPr>
            <w:r>
              <w:rPr>
                <w:rFonts w:ascii="Times New Roman" w:hAnsi="Times New Roman"/>
                <w:b/>
                <w:color w:val="000000" w:themeColor="text1"/>
                <w:kern w:val="0"/>
                <w:sz w:val="18"/>
                <w:szCs w:val="18"/>
              </w:rPr>
              <w:t>（共</w:t>
            </w:r>
            <w:r>
              <w:rPr>
                <w:rFonts w:ascii="Times New Roman" w:hAnsi="Times New Roman"/>
                <w:b/>
                <w:color w:val="000000" w:themeColor="text1"/>
                <w:kern w:val="0"/>
                <w:sz w:val="18"/>
                <w:szCs w:val="18"/>
              </w:rPr>
              <w:t>33</w:t>
            </w:r>
            <w:r>
              <w:rPr>
                <w:rFonts w:ascii="Times New Roman" w:hAnsi="Times New Roman"/>
                <w:b/>
                <w:color w:val="000000" w:themeColor="text1"/>
                <w:kern w:val="0"/>
                <w:sz w:val="18"/>
                <w:szCs w:val="18"/>
              </w:rPr>
              <w:t>条）</w:t>
            </w: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应发布公告而未发布公告</w:t>
            </w:r>
            <w:r>
              <w:rPr>
                <w:rFonts w:ascii="Times New Roman" w:hAnsi="Times New Roman" w:hint="eastAsia"/>
                <w:color w:val="000000" w:themeColor="text1"/>
                <w:kern w:val="0"/>
                <w:sz w:val="18"/>
                <w:szCs w:val="18"/>
              </w:rPr>
              <w:t>的</w:t>
            </w:r>
          </w:p>
        </w:tc>
        <w:tc>
          <w:tcPr>
            <w:tcW w:w="1172" w:type="dxa"/>
            <w:gridSpan w:val="2"/>
            <w:vMerge w:val="restart"/>
            <w:vAlign w:val="center"/>
          </w:tcPr>
          <w:p w:rsidR="00C43683" w:rsidRDefault="00C43683"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w:t>
            </w:r>
          </w:p>
          <w:p w:rsidR="00C43683" w:rsidRDefault="00C43683"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非公开招标方式的项目，未按规定向供应商发出邀请书</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color w:val="000000" w:themeColor="text1"/>
                <w:kern w:val="0"/>
                <w:sz w:val="18"/>
                <w:szCs w:val="18"/>
              </w:rPr>
              <w:t>将非国家规定的强制性资质条件或者非强制性认证作为资格条件；或未将国家规定的强制性资质条件或强制性认证作为资格条件</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440"/>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color w:val="000000" w:themeColor="text1"/>
                <w:kern w:val="0"/>
                <w:sz w:val="18"/>
                <w:szCs w:val="18"/>
              </w:rPr>
              <w:t>采购过程中变更采购方式程序出现错误</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 xml:space="preserve">5. </w:t>
            </w:r>
            <w:r>
              <w:rPr>
                <w:rFonts w:ascii="Times New Roman" w:hAnsi="Times New Roman"/>
                <w:color w:val="000000" w:themeColor="text1"/>
                <w:kern w:val="0"/>
                <w:sz w:val="18"/>
                <w:szCs w:val="18"/>
              </w:rPr>
              <w:t>项目经办人或采购文件标注的联系人非代理机构名录中的备案人员</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386"/>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6.</w:t>
            </w:r>
            <w:r>
              <w:rPr>
                <w:rFonts w:ascii="Times New Roman" w:hAnsi="Times New Roman"/>
                <w:color w:val="000000" w:themeColor="text1"/>
                <w:kern w:val="0"/>
                <w:sz w:val="18"/>
                <w:szCs w:val="18"/>
              </w:rPr>
              <w:t>被投诉，经查认定是有责的</w:t>
            </w:r>
          </w:p>
        </w:tc>
        <w:tc>
          <w:tcPr>
            <w:tcW w:w="1172" w:type="dxa"/>
            <w:gridSpan w:val="2"/>
            <w:vMerge w:val="restart"/>
            <w:vAlign w:val="center"/>
          </w:tcPr>
          <w:p w:rsidR="00C43683" w:rsidRDefault="00C43683"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w:t>
            </w:r>
          </w:p>
          <w:p w:rsidR="00C43683" w:rsidRDefault="00C43683"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4</w:t>
            </w:r>
            <w:r>
              <w:rPr>
                <w:rFonts w:ascii="Times New Roman" w:hAnsi="Times New Roman"/>
                <w:color w:val="000000" w:themeColor="text1"/>
                <w:kern w:val="0"/>
                <w:sz w:val="18"/>
                <w:szCs w:val="18"/>
              </w:rPr>
              <w:t>分</w:t>
            </w:r>
          </w:p>
        </w:tc>
        <w:tc>
          <w:tcPr>
            <w:tcW w:w="1276" w:type="dxa"/>
            <w:tcMar>
              <w:top w:w="0" w:type="dxa"/>
              <w:left w:w="108" w:type="dxa"/>
              <w:bottom w:w="0" w:type="dxa"/>
              <w:right w:w="108" w:type="dxa"/>
            </w:tcMar>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366"/>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7.</w:t>
            </w:r>
            <w:r>
              <w:rPr>
                <w:rFonts w:ascii="Times New Roman" w:hAnsi="Times New Roman"/>
                <w:color w:val="000000" w:themeColor="text1"/>
                <w:kern w:val="0"/>
                <w:sz w:val="18"/>
                <w:szCs w:val="18"/>
              </w:rPr>
              <w:t>未按规定签订委托代理协议</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8.</w:t>
            </w:r>
            <w:r>
              <w:rPr>
                <w:rFonts w:ascii="Times New Roman" w:hAnsi="Times New Roman"/>
                <w:color w:val="000000" w:themeColor="text1"/>
                <w:kern w:val="0"/>
                <w:sz w:val="18"/>
                <w:szCs w:val="18"/>
              </w:rPr>
              <w:t>因采购文件（含答疑文件）等编制不严谨或前后条款互相矛盾，造成供应商理解混乱而引发争议的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9.</w:t>
            </w:r>
            <w:r>
              <w:rPr>
                <w:rFonts w:ascii="Times New Roman" w:hAnsi="Times New Roman"/>
                <w:color w:val="000000" w:themeColor="text1"/>
                <w:kern w:val="0"/>
                <w:sz w:val="18"/>
                <w:szCs w:val="18"/>
              </w:rPr>
              <w:t>评审中未提示评标委员会对畸高、畸低重大差异分进行复核或书面说明理由</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rPr>
              <w:t>评审中未对客观分保持一致进行核对或未对评委个人详细打分表和评分汇总表进行核对，出现不完整、不准确情况</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11.</w:t>
            </w:r>
            <w:r>
              <w:rPr>
                <w:rFonts w:ascii="Times New Roman" w:hAnsi="Times New Roman"/>
                <w:color w:val="000000" w:themeColor="text1"/>
                <w:kern w:val="0"/>
                <w:sz w:val="18"/>
                <w:szCs w:val="18"/>
              </w:rPr>
              <w:t>未及时对政府采购报表进行填报或政府采购报表填报错误，每错一处按一次计算，以此类推</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12.</w:t>
            </w:r>
            <w:r>
              <w:rPr>
                <w:rFonts w:ascii="Times New Roman" w:hAnsi="Times New Roman"/>
                <w:color w:val="000000" w:themeColor="text1"/>
                <w:kern w:val="0"/>
                <w:sz w:val="18"/>
                <w:szCs w:val="18"/>
              </w:rPr>
              <w:t>因供应商质疑或投诉，经查评标专家评审有误，未对专家再次进行考评的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13.</w:t>
            </w:r>
            <w:r>
              <w:rPr>
                <w:rFonts w:ascii="Times New Roman" w:hAnsi="Times New Roman"/>
                <w:color w:val="000000" w:themeColor="text1"/>
                <w:kern w:val="0"/>
                <w:sz w:val="18"/>
                <w:szCs w:val="18"/>
              </w:rPr>
              <w:t>将未经采购人确认的采购文件擅自挂网或擅自修改经过采购人加盖公章的采购文件</w:t>
            </w:r>
            <w:r>
              <w:rPr>
                <w:rFonts w:ascii="Times New Roman" w:hAnsi="Times New Roman" w:hint="eastAsia"/>
                <w:color w:val="000000" w:themeColor="text1"/>
                <w:kern w:val="0"/>
                <w:sz w:val="18"/>
                <w:szCs w:val="18"/>
              </w:rPr>
              <w:t>的</w:t>
            </w:r>
          </w:p>
        </w:tc>
        <w:tc>
          <w:tcPr>
            <w:tcW w:w="1172" w:type="dxa"/>
            <w:gridSpan w:val="2"/>
            <w:vMerge w:val="restart"/>
            <w:vAlign w:val="center"/>
          </w:tcPr>
          <w:p w:rsidR="00C43683" w:rsidRDefault="00C43683"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w:t>
            </w:r>
          </w:p>
          <w:p w:rsidR="00C43683" w:rsidRDefault="00C43683" w:rsidP="00C77307">
            <w:pPr>
              <w:spacing w:line="240" w:lineRule="exact"/>
              <w:ind w:left="90" w:hangingChars="50" w:hanging="9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14.</w:t>
            </w:r>
            <w:r>
              <w:rPr>
                <w:rFonts w:ascii="Times New Roman" w:hAnsi="Times New Roman" w:hint="eastAsia"/>
                <w:color w:val="000000" w:themeColor="text1"/>
                <w:kern w:val="0"/>
                <w:sz w:val="18"/>
                <w:szCs w:val="18"/>
              </w:rPr>
              <w:t>信息公告未按期、未按规定或未在指定媒体上发布的。</w:t>
            </w:r>
          </w:p>
        </w:tc>
        <w:tc>
          <w:tcPr>
            <w:tcW w:w="1172" w:type="dxa"/>
            <w:gridSpan w:val="2"/>
            <w:vMerge/>
            <w:vAlign w:val="center"/>
          </w:tcPr>
          <w:p w:rsidR="00C43683" w:rsidRDefault="00C43683" w:rsidP="00C77307">
            <w:pPr>
              <w:spacing w:line="240" w:lineRule="exact"/>
              <w:ind w:left="90" w:hangingChars="50" w:hanging="90"/>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382"/>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15.</w:t>
            </w:r>
            <w:r>
              <w:rPr>
                <w:rFonts w:ascii="Times New Roman" w:hAnsi="Times New Roman"/>
                <w:color w:val="000000" w:themeColor="text1"/>
                <w:kern w:val="0"/>
                <w:sz w:val="18"/>
                <w:szCs w:val="18"/>
              </w:rPr>
              <w:t>开标记录表、评标报告信息出现漏填或错误</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spacing w:line="240" w:lineRule="exact"/>
              <w:ind w:leftChars="-33" w:left="-68" w:hanging="1"/>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16.</w:t>
            </w:r>
            <w:r>
              <w:rPr>
                <w:rFonts w:ascii="Times New Roman" w:hAnsi="Times New Roman"/>
                <w:color w:val="000000" w:themeColor="text1"/>
                <w:kern w:val="0"/>
                <w:sz w:val="18"/>
                <w:szCs w:val="18"/>
              </w:rPr>
              <w:t>中标公告中标通知书内容有误的或时间不一致</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spacing w:line="240" w:lineRule="exact"/>
              <w:ind w:leftChars="-33" w:left="-68" w:hanging="1"/>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17. 1000</w:t>
            </w:r>
            <w:r>
              <w:rPr>
                <w:rFonts w:ascii="Times New Roman" w:hAnsi="Times New Roman"/>
                <w:color w:val="000000" w:themeColor="text1"/>
                <w:kern w:val="0"/>
                <w:sz w:val="18"/>
                <w:szCs w:val="18"/>
              </w:rPr>
              <w:t>万元及</w:t>
            </w:r>
            <w:r>
              <w:rPr>
                <w:rFonts w:ascii="Times New Roman" w:hAnsi="Times New Roman"/>
                <w:color w:val="000000" w:themeColor="text1"/>
                <w:kern w:val="0"/>
                <w:sz w:val="18"/>
                <w:szCs w:val="18"/>
              </w:rPr>
              <w:t>1000</w:t>
            </w:r>
            <w:r>
              <w:rPr>
                <w:rFonts w:ascii="Times New Roman" w:hAnsi="Times New Roman"/>
                <w:color w:val="000000" w:themeColor="text1"/>
                <w:kern w:val="0"/>
                <w:sz w:val="18"/>
                <w:szCs w:val="18"/>
              </w:rPr>
              <w:t>万元以上的单包项目，招标文件未经项目负责人复审的</w:t>
            </w:r>
          </w:p>
        </w:tc>
        <w:tc>
          <w:tcPr>
            <w:tcW w:w="1172" w:type="dxa"/>
            <w:gridSpan w:val="2"/>
            <w:vMerge/>
            <w:vAlign w:val="center"/>
          </w:tcPr>
          <w:p w:rsidR="00C43683" w:rsidRDefault="00C43683" w:rsidP="00C77307">
            <w:pPr>
              <w:spacing w:line="240" w:lineRule="exact"/>
              <w:ind w:leftChars="-33" w:left="-68" w:hanging="1"/>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rPr>
                <w:rFonts w:ascii="Times New Roman" w:hAnsi="Times New Roman"/>
                <w:color w:val="000000" w:themeColor="text1"/>
                <w:kern w:val="0"/>
                <w:sz w:val="18"/>
                <w:szCs w:val="18"/>
              </w:rPr>
            </w:pPr>
            <w:r>
              <w:rPr>
                <w:rFonts w:ascii="Times New Roman" w:hAnsi="Times New Roman"/>
                <w:color w:val="000000" w:themeColor="text1"/>
                <w:kern w:val="0"/>
                <w:sz w:val="18"/>
                <w:szCs w:val="18"/>
              </w:rPr>
              <w:t xml:space="preserve">18. </w:t>
            </w:r>
            <w:r>
              <w:rPr>
                <w:rFonts w:ascii="Times New Roman" w:hAnsi="Times New Roman"/>
                <w:color w:val="000000" w:themeColor="text1"/>
                <w:kern w:val="0"/>
                <w:sz w:val="18"/>
                <w:szCs w:val="18"/>
              </w:rPr>
              <w:t>采购文件关键内容填错的，包括但不限于以下内容如：资格条件、报名时间、保证金到账时间、金额、业绩、开标时间、地点等</w:t>
            </w:r>
          </w:p>
        </w:tc>
        <w:tc>
          <w:tcPr>
            <w:tcW w:w="1172" w:type="dxa"/>
            <w:gridSpan w:val="2"/>
            <w:vMerge/>
            <w:tcMar>
              <w:top w:w="0" w:type="dxa"/>
              <w:left w:w="108" w:type="dxa"/>
              <w:bottom w:w="0" w:type="dxa"/>
              <w:right w:w="108" w:type="dxa"/>
            </w:tcMar>
            <w:vAlign w:val="center"/>
          </w:tcPr>
          <w:p w:rsidR="00C43683" w:rsidRDefault="00C43683" w:rsidP="00C77307">
            <w:pPr>
              <w:spacing w:line="240" w:lineRule="exact"/>
              <w:ind w:leftChars="-33" w:left="-68" w:hanging="1"/>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347"/>
          <w:jc w:val="center"/>
        </w:trPr>
        <w:tc>
          <w:tcPr>
            <w:tcW w:w="584" w:type="dxa"/>
            <w:vMerge/>
            <w:tcMar>
              <w:top w:w="0" w:type="dxa"/>
              <w:left w:w="108" w:type="dxa"/>
              <w:bottom w:w="0" w:type="dxa"/>
              <w:right w:w="108" w:type="dxa"/>
            </w:tcMar>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ind w:leftChars="-2" w:left="140" w:hanging="144"/>
              <w:rPr>
                <w:rFonts w:ascii="Times New Roman" w:hAnsi="Times New Roman"/>
                <w:color w:val="000000" w:themeColor="text1"/>
                <w:kern w:val="0"/>
                <w:sz w:val="18"/>
                <w:szCs w:val="18"/>
              </w:rPr>
            </w:pPr>
            <w:r>
              <w:rPr>
                <w:rFonts w:ascii="Times New Roman" w:hAnsi="Times New Roman"/>
                <w:color w:val="000000" w:themeColor="text1"/>
                <w:kern w:val="0"/>
                <w:sz w:val="18"/>
                <w:szCs w:val="18"/>
              </w:rPr>
              <w:t>19.</w:t>
            </w:r>
            <w:r>
              <w:rPr>
                <w:rFonts w:ascii="Times New Roman" w:hAnsi="Times New Roman"/>
                <w:color w:val="000000" w:themeColor="text1"/>
                <w:kern w:val="0"/>
                <w:sz w:val="18"/>
                <w:szCs w:val="18"/>
              </w:rPr>
              <w:t>将资格条件作为评审因素</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spacing w:line="240" w:lineRule="exact"/>
              <w:jc w:val="center"/>
              <w:rPr>
                <w:rFonts w:ascii="Times New Roman" w:hAnsi="Times New Roman"/>
                <w:b/>
                <w:bCs/>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ind w:leftChars="-2" w:left="-4"/>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组织评标时，发出的采购文件与供评委会评标所使用的采购文件不一致</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320"/>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tcMar>
              <w:top w:w="0" w:type="dxa"/>
              <w:left w:w="108" w:type="dxa"/>
              <w:bottom w:w="0" w:type="dxa"/>
              <w:right w:w="108" w:type="dxa"/>
            </w:tcMar>
            <w:vAlign w:val="center"/>
          </w:tcPr>
          <w:p w:rsidR="00C43683" w:rsidRDefault="00C43683" w:rsidP="00C77307">
            <w:pPr>
              <w:spacing w:line="240" w:lineRule="exact"/>
              <w:ind w:leftChars="-2" w:left="-4"/>
              <w:rPr>
                <w:rFonts w:ascii="Times New Roman" w:hAnsi="Times New Roman"/>
                <w:color w:val="000000" w:themeColor="text1"/>
                <w:kern w:val="0"/>
                <w:sz w:val="18"/>
                <w:szCs w:val="18"/>
              </w:rPr>
            </w:pPr>
            <w:r>
              <w:rPr>
                <w:rFonts w:ascii="Times New Roman" w:hAnsi="Times New Roman"/>
                <w:color w:val="000000" w:themeColor="text1"/>
                <w:kern w:val="0"/>
                <w:sz w:val="18"/>
                <w:szCs w:val="18"/>
              </w:rPr>
              <w:t>21.</w:t>
            </w:r>
            <w:r>
              <w:rPr>
                <w:rFonts w:ascii="Times New Roman" w:hAnsi="Times New Roman"/>
                <w:color w:val="000000" w:themeColor="text1"/>
                <w:kern w:val="0"/>
                <w:sz w:val="18"/>
                <w:szCs w:val="18"/>
              </w:rPr>
              <w:t>未落实有关政府采购政策</w:t>
            </w:r>
            <w:r>
              <w:rPr>
                <w:rFonts w:ascii="Times New Roman" w:hAnsi="Times New Roman" w:hint="eastAsia"/>
                <w:color w:val="000000" w:themeColor="text1"/>
                <w:kern w:val="0"/>
                <w:sz w:val="18"/>
                <w:szCs w:val="18"/>
              </w:rPr>
              <w:t>的</w:t>
            </w:r>
          </w:p>
        </w:tc>
        <w:tc>
          <w:tcPr>
            <w:tcW w:w="1172" w:type="dxa"/>
            <w:gridSpan w:val="2"/>
            <w:vMerge/>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r>
      <w:tr w:rsidR="00C43683" w:rsidTr="00C77307">
        <w:trPr>
          <w:cantSplit/>
          <w:trHeight w:val="397"/>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22.</w:t>
            </w:r>
            <w:r>
              <w:rPr>
                <w:rFonts w:ascii="Times New Roman" w:hAnsi="Times New Roman"/>
                <w:bCs/>
                <w:color w:val="000000" w:themeColor="text1"/>
                <w:kern w:val="0"/>
                <w:sz w:val="18"/>
                <w:szCs w:val="18"/>
              </w:rPr>
              <w:t>不按要求使用采购文件示范文本的</w:t>
            </w:r>
          </w:p>
        </w:tc>
        <w:tc>
          <w:tcPr>
            <w:tcW w:w="1172" w:type="dxa"/>
            <w:gridSpan w:val="2"/>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bCs/>
                <w:color w:val="000000" w:themeColor="text1"/>
                <w:kern w:val="0"/>
                <w:sz w:val="18"/>
                <w:szCs w:val="18"/>
              </w:rPr>
              <w:t>23.</w:t>
            </w:r>
            <w:r>
              <w:rPr>
                <w:rFonts w:ascii="Times New Roman" w:hAnsi="Times New Roman"/>
                <w:color w:val="000000" w:themeColor="text1"/>
                <w:kern w:val="0"/>
                <w:sz w:val="18"/>
                <w:szCs w:val="18"/>
              </w:rPr>
              <w:t>采购文件不完整、不清晰、有歧义，前后表述不一致</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24.</w:t>
            </w:r>
            <w:r>
              <w:rPr>
                <w:rFonts w:ascii="Times New Roman" w:hAnsi="Times New Roman"/>
                <w:color w:val="000000" w:themeColor="text1"/>
                <w:kern w:val="0"/>
                <w:sz w:val="18"/>
                <w:szCs w:val="18"/>
              </w:rPr>
              <w:t>开标或评标程序组织混乱，虽未造成采购活动不能进行，但相关当事人提出异议的</w:t>
            </w:r>
          </w:p>
        </w:tc>
        <w:tc>
          <w:tcPr>
            <w:tcW w:w="1172" w:type="dxa"/>
            <w:gridSpan w:val="2"/>
            <w:vMerge w:val="restart"/>
            <w:vAlign w:val="center"/>
          </w:tcPr>
          <w:p w:rsidR="00C43683" w:rsidRDefault="00C43683" w:rsidP="00C77307">
            <w:pPr>
              <w:spacing w:line="240" w:lineRule="exact"/>
              <w:ind w:left="180" w:hangingChars="100" w:hanging="18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w:t>
            </w:r>
          </w:p>
          <w:p w:rsidR="00C43683" w:rsidRDefault="00C43683" w:rsidP="00C77307">
            <w:pPr>
              <w:spacing w:line="240" w:lineRule="exact"/>
              <w:ind w:left="180" w:hangingChars="100" w:hanging="180"/>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扣</w:t>
            </w: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25.</w:t>
            </w:r>
            <w:r>
              <w:rPr>
                <w:rFonts w:ascii="Times New Roman" w:hAnsi="Times New Roman"/>
                <w:color w:val="000000" w:themeColor="text1"/>
                <w:kern w:val="0"/>
                <w:sz w:val="18"/>
                <w:szCs w:val="18"/>
              </w:rPr>
              <w:t>设置企业注册资本金、资产总额、营业收入、从业人员、利润、纳税额等规模条件作为资格条件或者评审因素</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spacing w:line="240" w:lineRule="exact"/>
              <w:ind w:left="180" w:hangingChars="100" w:hanging="180"/>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26.</w:t>
            </w:r>
            <w:r>
              <w:rPr>
                <w:rFonts w:ascii="Times New Roman" w:hAnsi="Times New Roman"/>
                <w:color w:val="000000" w:themeColor="text1"/>
                <w:kern w:val="0"/>
                <w:sz w:val="18"/>
                <w:szCs w:val="18"/>
              </w:rPr>
              <w:t>以不合理的条件对供应商实行差别待遇或者歧视待遇</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325"/>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27.</w:t>
            </w:r>
            <w:r>
              <w:rPr>
                <w:rFonts w:ascii="Times New Roman" w:hAnsi="Times New Roman"/>
                <w:color w:val="000000" w:themeColor="text1"/>
                <w:kern w:val="0"/>
                <w:sz w:val="18"/>
                <w:szCs w:val="18"/>
              </w:rPr>
              <w:t>指定产品、品牌、技术和唯一性工艺</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28</w:t>
            </w:r>
            <w:r>
              <w:rPr>
                <w:rFonts w:ascii="Times New Roman" w:hAnsi="Times New Roman"/>
                <w:color w:val="000000" w:themeColor="text1"/>
                <w:kern w:val="0"/>
                <w:sz w:val="18"/>
                <w:szCs w:val="18"/>
              </w:rPr>
              <w:t xml:space="preserve">. </w:t>
            </w:r>
            <w:r>
              <w:rPr>
                <w:rFonts w:ascii="Times New Roman" w:hAnsi="Times New Roman"/>
                <w:color w:val="000000" w:themeColor="text1"/>
                <w:kern w:val="0"/>
                <w:sz w:val="18"/>
                <w:szCs w:val="18"/>
              </w:rPr>
              <w:t>未按规定挂网公告，包括将采购公告、中标或成交结果公告、政府采购合同公告、单一来源网上公示等</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29</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质疑回复前项目负责人和经办人未同时签字</w:t>
            </w:r>
            <w:r>
              <w:rPr>
                <w:rFonts w:ascii="Times New Roman" w:hAnsi="Times New Roman" w:hint="eastAsia"/>
                <w:color w:val="000000" w:themeColor="text1"/>
                <w:kern w:val="0"/>
                <w:sz w:val="18"/>
                <w:szCs w:val="18"/>
              </w:rPr>
              <w:t>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专家抽取表因代理机构自身原因，第二次提交仍未完成抽取的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330"/>
          <w:jc w:val="center"/>
        </w:trPr>
        <w:tc>
          <w:tcPr>
            <w:tcW w:w="584"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31.</w:t>
            </w:r>
            <w:r>
              <w:rPr>
                <w:rFonts w:ascii="Times New Roman" w:hAnsi="Times New Roman"/>
                <w:color w:val="000000" w:themeColor="text1"/>
                <w:kern w:val="0"/>
                <w:sz w:val="18"/>
                <w:szCs w:val="18"/>
              </w:rPr>
              <w:t>违反公管局或行政监督部门相关规定的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3</w:t>
            </w: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w:t>
            </w:r>
            <w:r>
              <w:rPr>
                <w:rFonts w:ascii="Times New Roman" w:hAnsi="Times New Roman" w:hint="eastAsia"/>
                <w:color w:val="000000" w:themeColor="text1"/>
                <w:kern w:val="0"/>
                <w:sz w:val="18"/>
                <w:szCs w:val="18"/>
              </w:rPr>
              <w:t>信息公告未按期、未按规定或未在指定媒体上发布的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1405" w:type="dxa"/>
            <w:vMerge/>
            <w:vAlign w:val="center"/>
          </w:tcPr>
          <w:p w:rsidR="00C43683" w:rsidRDefault="00C43683" w:rsidP="00C77307">
            <w:pPr>
              <w:widowControl/>
              <w:spacing w:line="240" w:lineRule="exact"/>
              <w:jc w:val="left"/>
              <w:rPr>
                <w:rFonts w:ascii="Times New Roman" w:hAnsi="Times New Roman"/>
                <w:color w:val="000000" w:themeColor="text1"/>
                <w:kern w:val="0"/>
                <w:sz w:val="18"/>
                <w:szCs w:val="18"/>
              </w:rPr>
            </w:pPr>
          </w:p>
        </w:tc>
        <w:tc>
          <w:tcPr>
            <w:tcW w:w="3893" w:type="dxa"/>
            <w:gridSpan w:val="2"/>
            <w:vAlign w:val="center"/>
          </w:tcPr>
          <w:p w:rsidR="00C43683" w:rsidRDefault="00C43683" w:rsidP="00C77307">
            <w:pPr>
              <w:widowControl/>
              <w:spacing w:line="240" w:lineRule="exact"/>
              <w:ind w:leftChars="49" w:left="103"/>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3</w:t>
            </w: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w:t>
            </w:r>
            <w:r>
              <w:rPr>
                <w:rFonts w:ascii="Times New Roman" w:hAnsi="Times New Roman" w:hint="eastAsia"/>
                <w:color w:val="000000" w:themeColor="text1"/>
                <w:kern w:val="0"/>
                <w:sz w:val="18"/>
                <w:szCs w:val="18"/>
              </w:rPr>
              <w:t>违反《芜湖市政府采购负面清单》中相关条款的</w:t>
            </w:r>
          </w:p>
        </w:tc>
        <w:tc>
          <w:tcPr>
            <w:tcW w:w="1172" w:type="dxa"/>
            <w:gridSpan w:val="2"/>
            <w:vMerge/>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584"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序号</w:t>
            </w:r>
          </w:p>
        </w:tc>
        <w:tc>
          <w:tcPr>
            <w:tcW w:w="1405"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类别</w:t>
            </w:r>
          </w:p>
        </w:tc>
        <w:tc>
          <w:tcPr>
            <w:tcW w:w="3893" w:type="dxa"/>
            <w:gridSpan w:val="2"/>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评价内容</w:t>
            </w:r>
          </w:p>
        </w:tc>
        <w:tc>
          <w:tcPr>
            <w:tcW w:w="1172" w:type="dxa"/>
            <w:gridSpan w:val="2"/>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加分标准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加分点</w:t>
            </w:r>
          </w:p>
        </w:tc>
        <w:tc>
          <w:tcPr>
            <w:tcW w:w="992"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b/>
                <w:bCs/>
                <w:color w:val="000000" w:themeColor="text1"/>
                <w:kern w:val="0"/>
                <w:sz w:val="18"/>
                <w:szCs w:val="18"/>
              </w:rPr>
              <w:t>计分</w:t>
            </w:r>
          </w:p>
        </w:tc>
      </w:tr>
      <w:tr w:rsidR="00C43683" w:rsidTr="00C77307">
        <w:trPr>
          <w:cantSplit/>
          <w:trHeight w:val="567"/>
          <w:jc w:val="center"/>
        </w:trPr>
        <w:tc>
          <w:tcPr>
            <w:tcW w:w="584"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2</w:t>
            </w:r>
          </w:p>
        </w:tc>
        <w:tc>
          <w:tcPr>
            <w:tcW w:w="8738" w:type="dxa"/>
            <w:gridSpan w:val="7"/>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良好行为采用加分制</w:t>
            </w:r>
          </w:p>
        </w:tc>
      </w:tr>
      <w:tr w:rsidR="00C43683" w:rsidTr="00C77307">
        <w:trPr>
          <w:cantSplit/>
          <w:trHeight w:val="567"/>
          <w:jc w:val="center"/>
        </w:trPr>
        <w:tc>
          <w:tcPr>
            <w:tcW w:w="584" w:type="dxa"/>
            <w:vAlign w:val="center"/>
          </w:tcPr>
          <w:p w:rsidR="00C43683" w:rsidRDefault="00C43683"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c>
          <w:tcPr>
            <w:tcW w:w="1405" w:type="dxa"/>
            <w:vAlign w:val="center"/>
          </w:tcPr>
          <w:p w:rsidR="00C43683" w:rsidRDefault="00C43683" w:rsidP="00C77307">
            <w:pPr>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良好行为</w:t>
            </w:r>
          </w:p>
          <w:p w:rsidR="00C43683" w:rsidRDefault="00C43683" w:rsidP="00C77307">
            <w:pPr>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（共</w:t>
            </w:r>
            <w:r>
              <w:rPr>
                <w:rFonts w:ascii="Times New Roman" w:hAnsi="Times New Roman"/>
                <w:b/>
                <w:color w:val="000000" w:themeColor="text1"/>
                <w:kern w:val="0"/>
                <w:sz w:val="18"/>
                <w:szCs w:val="18"/>
              </w:rPr>
              <w:t>1</w:t>
            </w:r>
            <w:r>
              <w:rPr>
                <w:rFonts w:ascii="Times New Roman" w:hAnsi="Times New Roman"/>
                <w:b/>
                <w:color w:val="000000" w:themeColor="text1"/>
                <w:kern w:val="0"/>
                <w:sz w:val="18"/>
                <w:szCs w:val="18"/>
              </w:rPr>
              <w:t>条）</w:t>
            </w:r>
          </w:p>
        </w:tc>
        <w:tc>
          <w:tcPr>
            <w:tcW w:w="3931" w:type="dxa"/>
            <w:gridSpan w:val="3"/>
            <w:vAlign w:val="center"/>
          </w:tcPr>
          <w:p w:rsidR="00C43683" w:rsidRDefault="00C43683" w:rsidP="00C77307">
            <w:pPr>
              <w:spacing w:line="240" w:lineRule="exact"/>
              <w:ind w:leftChars="49" w:left="103"/>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在政府采购报表填报过程中发挥审核汇总示范作用，并一次上报成功的</w:t>
            </w:r>
          </w:p>
        </w:tc>
        <w:tc>
          <w:tcPr>
            <w:tcW w:w="1134" w:type="dxa"/>
            <w:vAlign w:val="center"/>
          </w:tcPr>
          <w:p w:rsidR="00C43683" w:rsidRDefault="00C43683" w:rsidP="00C77307">
            <w:pPr>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加</w:t>
            </w:r>
            <w:r>
              <w:rPr>
                <w:rFonts w:ascii="Times New Roman" w:hAnsi="Times New Roman"/>
                <w:color w:val="000000" w:themeColor="text1"/>
                <w:kern w:val="0"/>
                <w:sz w:val="18"/>
                <w:szCs w:val="18"/>
              </w:rPr>
              <w:t>1-3</w:t>
            </w:r>
            <w:r>
              <w:rPr>
                <w:rFonts w:ascii="Times New Roman" w:hAnsi="Times New Roman"/>
                <w:color w:val="000000" w:themeColor="text1"/>
                <w:kern w:val="0"/>
                <w:sz w:val="18"/>
                <w:szCs w:val="18"/>
              </w:rPr>
              <w:t>分</w:t>
            </w:r>
          </w:p>
        </w:tc>
        <w:tc>
          <w:tcPr>
            <w:tcW w:w="1276" w:type="dxa"/>
            <w:tcMar>
              <w:top w:w="0" w:type="dxa"/>
              <w:left w:w="108" w:type="dxa"/>
              <w:bottom w:w="0" w:type="dxa"/>
              <w:right w:w="108" w:type="dxa"/>
            </w:tcMar>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p>
        </w:tc>
        <w:tc>
          <w:tcPr>
            <w:tcW w:w="992" w:type="dxa"/>
            <w:tcMar>
              <w:top w:w="0" w:type="dxa"/>
              <w:left w:w="108" w:type="dxa"/>
              <w:bottom w:w="0" w:type="dxa"/>
              <w:right w:w="108" w:type="dxa"/>
            </w:tcMar>
            <w:vAlign w:val="center"/>
          </w:tcPr>
          <w:p w:rsidR="00C43683" w:rsidRDefault="00C43683" w:rsidP="00C77307">
            <w:pPr>
              <w:spacing w:line="240" w:lineRule="exact"/>
              <w:jc w:val="center"/>
              <w:rPr>
                <w:rFonts w:ascii="Times New Roman" w:hAnsi="Times New Roman"/>
                <w:color w:val="000000" w:themeColor="text1"/>
                <w:kern w:val="0"/>
                <w:sz w:val="18"/>
                <w:szCs w:val="18"/>
              </w:rPr>
            </w:pPr>
          </w:p>
          <w:p w:rsidR="00C43683" w:rsidRDefault="00C43683" w:rsidP="00C77307">
            <w:pPr>
              <w:spacing w:line="240" w:lineRule="exact"/>
              <w:jc w:val="center"/>
              <w:rPr>
                <w:rFonts w:ascii="Times New Roman" w:hAnsi="Times New Roman"/>
                <w:color w:val="000000" w:themeColor="text1"/>
                <w:kern w:val="0"/>
                <w:sz w:val="18"/>
                <w:szCs w:val="18"/>
              </w:rPr>
            </w:pPr>
          </w:p>
        </w:tc>
      </w:tr>
      <w:tr w:rsidR="00C43683" w:rsidTr="00C77307">
        <w:trPr>
          <w:cantSplit/>
          <w:trHeight w:val="567"/>
          <w:jc w:val="center"/>
        </w:trPr>
        <w:tc>
          <w:tcPr>
            <w:tcW w:w="8330" w:type="dxa"/>
            <w:gridSpan w:val="7"/>
            <w:vAlign w:val="center"/>
          </w:tcPr>
          <w:p w:rsidR="00C43683" w:rsidRDefault="00C43683" w:rsidP="00C77307">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b/>
                <w:color w:val="000000" w:themeColor="text1"/>
                <w:kern w:val="0"/>
                <w:sz w:val="18"/>
                <w:szCs w:val="18"/>
              </w:rPr>
              <w:t>总计分</w:t>
            </w:r>
          </w:p>
        </w:tc>
        <w:tc>
          <w:tcPr>
            <w:tcW w:w="992" w:type="dxa"/>
            <w:tcMar>
              <w:top w:w="0" w:type="dxa"/>
              <w:left w:w="108" w:type="dxa"/>
              <w:bottom w:w="0" w:type="dxa"/>
              <w:right w:w="108" w:type="dxa"/>
            </w:tcMar>
            <w:vAlign w:val="center"/>
          </w:tcPr>
          <w:p w:rsidR="00C43683" w:rsidRDefault="00C43683" w:rsidP="00C77307">
            <w:pPr>
              <w:spacing w:line="240" w:lineRule="exact"/>
              <w:jc w:val="center"/>
              <w:rPr>
                <w:rFonts w:ascii="Times New Roman" w:hAnsi="Times New Roman"/>
                <w:color w:val="000000" w:themeColor="text1"/>
                <w:kern w:val="0"/>
                <w:sz w:val="18"/>
                <w:szCs w:val="18"/>
              </w:rPr>
            </w:pPr>
          </w:p>
        </w:tc>
      </w:tr>
      <w:tr w:rsidR="00C43683" w:rsidTr="00C77307">
        <w:trPr>
          <w:cantSplit/>
          <w:trHeight w:val="510"/>
          <w:jc w:val="center"/>
        </w:trPr>
        <w:tc>
          <w:tcPr>
            <w:tcW w:w="9322" w:type="dxa"/>
            <w:gridSpan w:val="8"/>
            <w:vAlign w:val="center"/>
          </w:tcPr>
          <w:p w:rsidR="00C43683" w:rsidRDefault="00C43683" w:rsidP="00C77307">
            <w:pPr>
              <w:spacing w:line="240" w:lineRule="exact"/>
              <w:jc w:val="left"/>
              <w:rPr>
                <w:rFonts w:ascii="Times New Roman" w:hAnsi="Times New Roman"/>
                <w:color w:val="000000" w:themeColor="text1"/>
                <w:kern w:val="0"/>
                <w:sz w:val="18"/>
                <w:szCs w:val="18"/>
              </w:rPr>
            </w:pPr>
          </w:p>
          <w:p w:rsidR="00C43683" w:rsidRDefault="00C43683" w:rsidP="00C77307">
            <w:pPr>
              <w:spacing w:line="240" w:lineRule="exact"/>
              <w:jc w:val="left"/>
              <w:rPr>
                <w:rFonts w:ascii="Times New Roman" w:hAnsi="Times New Roman"/>
                <w:color w:val="000000" w:themeColor="text1"/>
                <w:kern w:val="0"/>
                <w:sz w:val="18"/>
                <w:szCs w:val="18"/>
              </w:rPr>
            </w:pPr>
          </w:p>
          <w:p w:rsidR="00C43683" w:rsidRDefault="00C43683" w:rsidP="00C77307">
            <w:pPr>
              <w:spacing w:line="240" w:lineRule="exact"/>
              <w:jc w:val="left"/>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评价人签字：</w:t>
            </w:r>
          </w:p>
          <w:p w:rsidR="00C43683" w:rsidRDefault="00C43683" w:rsidP="00C77307">
            <w:pPr>
              <w:spacing w:line="240" w:lineRule="exact"/>
              <w:jc w:val="left"/>
              <w:rPr>
                <w:rFonts w:ascii="Times New Roman" w:hAnsi="Times New Roman"/>
                <w:color w:val="000000" w:themeColor="text1"/>
                <w:kern w:val="0"/>
                <w:sz w:val="18"/>
                <w:szCs w:val="18"/>
              </w:rPr>
            </w:pPr>
          </w:p>
          <w:p w:rsidR="00C43683" w:rsidRDefault="00C43683" w:rsidP="00C77307">
            <w:pPr>
              <w:spacing w:line="240" w:lineRule="exact"/>
              <w:jc w:val="left"/>
              <w:rPr>
                <w:rFonts w:ascii="Times New Roman" w:hAnsi="Times New Roman"/>
                <w:color w:val="000000" w:themeColor="text1"/>
                <w:kern w:val="0"/>
                <w:sz w:val="18"/>
                <w:szCs w:val="18"/>
              </w:rPr>
            </w:pPr>
          </w:p>
          <w:p w:rsidR="00C43683" w:rsidRDefault="00C43683" w:rsidP="00C77307">
            <w:pPr>
              <w:spacing w:line="240" w:lineRule="exact"/>
              <w:jc w:val="left"/>
              <w:rPr>
                <w:rFonts w:ascii="Times New Roman" w:hAnsi="Times New Roman"/>
                <w:color w:val="000000" w:themeColor="text1"/>
                <w:kern w:val="0"/>
                <w:sz w:val="18"/>
                <w:szCs w:val="18"/>
              </w:rPr>
            </w:pPr>
          </w:p>
          <w:p w:rsidR="00C43683" w:rsidRDefault="00C43683" w:rsidP="00C77307">
            <w:pPr>
              <w:spacing w:line="240" w:lineRule="exact"/>
              <w:jc w:val="left"/>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评价单位盖章：评价时间：年月日</w:t>
            </w:r>
          </w:p>
          <w:p w:rsidR="00C43683" w:rsidRDefault="00C43683" w:rsidP="00C77307">
            <w:pPr>
              <w:spacing w:line="240" w:lineRule="exact"/>
              <w:jc w:val="left"/>
              <w:rPr>
                <w:rFonts w:ascii="Times New Roman" w:hAnsi="Times New Roman"/>
                <w:color w:val="000000" w:themeColor="text1"/>
                <w:kern w:val="0"/>
                <w:sz w:val="18"/>
                <w:szCs w:val="18"/>
              </w:rPr>
            </w:pPr>
          </w:p>
          <w:p w:rsidR="00C43683" w:rsidRDefault="00C43683" w:rsidP="00C77307">
            <w:pPr>
              <w:spacing w:line="240" w:lineRule="exact"/>
              <w:jc w:val="left"/>
              <w:rPr>
                <w:rFonts w:ascii="Times New Roman" w:hAnsi="Times New Roman"/>
                <w:color w:val="000000" w:themeColor="text1"/>
                <w:kern w:val="0"/>
                <w:sz w:val="18"/>
                <w:szCs w:val="18"/>
              </w:rPr>
            </w:pPr>
          </w:p>
        </w:tc>
      </w:tr>
    </w:tbl>
    <w:p w:rsidR="005C52FE" w:rsidRPr="00C43683" w:rsidRDefault="005C52FE"/>
    <w:sectPr w:rsidR="005C52FE" w:rsidRPr="00C43683" w:rsidSect="005C5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3683"/>
    <w:rsid w:val="0000057F"/>
    <w:rsid w:val="00121D78"/>
    <w:rsid w:val="00297877"/>
    <w:rsid w:val="002E2970"/>
    <w:rsid w:val="00463C1B"/>
    <w:rsid w:val="005C52FE"/>
    <w:rsid w:val="00731858"/>
    <w:rsid w:val="007A44DB"/>
    <w:rsid w:val="00882423"/>
    <w:rsid w:val="008E0E79"/>
    <w:rsid w:val="00907261"/>
    <w:rsid w:val="00C43683"/>
    <w:rsid w:val="00E82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83"/>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1287</Characters>
  <Application>Microsoft Office Word</Application>
  <DocSecurity>0</DocSecurity>
  <Lines>214</Lines>
  <Paragraphs>115</Paragraphs>
  <ScaleCrop>false</ScaleCrop>
  <Company>微软中国</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闫国平</dc:creator>
  <cp:lastModifiedBy>闫国平</cp:lastModifiedBy>
  <cp:revision>1</cp:revision>
  <dcterms:created xsi:type="dcterms:W3CDTF">2020-01-15T05:23:00Z</dcterms:created>
  <dcterms:modified xsi:type="dcterms:W3CDTF">2020-01-15T05:24:00Z</dcterms:modified>
</cp:coreProperties>
</file>