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51" w:rsidRDefault="00337351" w:rsidP="00337351">
      <w:pPr>
        <w:widowControl/>
        <w:spacing w:before="100" w:beforeAutospacing="1" w:after="100" w:afterAutospacing="1" w:line="600" w:lineRule="exact"/>
        <w:rPr>
          <w:rFonts w:ascii="Times New Roman" w:hAnsi="Times New Roman"/>
          <w:color w:val="000000" w:themeColor="text1"/>
          <w:kern w:val="0"/>
          <w:sz w:val="24"/>
        </w:rPr>
      </w:pPr>
      <w:r>
        <w:rPr>
          <w:rFonts w:ascii="Times New Roman" w:eastAsia="黑体" w:hAnsi="Times New Roman"/>
          <w:color w:val="000000" w:themeColor="text1"/>
          <w:kern w:val="0"/>
          <w:sz w:val="32"/>
          <w:szCs w:val="32"/>
        </w:rPr>
        <w:t>附表</w:t>
      </w:r>
      <w:r>
        <w:rPr>
          <w:rFonts w:ascii="Times New Roman" w:eastAsia="黑体" w:hAnsi="Times New Roman"/>
          <w:color w:val="000000" w:themeColor="text1"/>
          <w:kern w:val="0"/>
          <w:sz w:val="32"/>
          <w:szCs w:val="32"/>
        </w:rPr>
        <w:t>3</w:t>
      </w:r>
    </w:p>
    <w:p w:rsidR="00337351" w:rsidRDefault="00337351" w:rsidP="00337351">
      <w:pPr>
        <w:widowControl/>
        <w:spacing w:beforeLines="100" w:line="600" w:lineRule="exact"/>
        <w:jc w:val="center"/>
        <w:rPr>
          <w:rFonts w:ascii="Times New Roman" w:eastAsia="方正小标宋简体" w:hAnsi="Times New Roman"/>
          <w:b/>
          <w:color w:val="000000" w:themeColor="text1"/>
          <w:kern w:val="0"/>
          <w:sz w:val="44"/>
          <w:szCs w:val="44"/>
        </w:rPr>
      </w:pPr>
      <w:r>
        <w:rPr>
          <w:rFonts w:ascii="Times New Roman" w:eastAsia="方正小标宋简体" w:hAnsi="Times New Roman"/>
          <w:b/>
          <w:color w:val="000000" w:themeColor="text1"/>
          <w:kern w:val="0"/>
          <w:sz w:val="44"/>
          <w:szCs w:val="44"/>
        </w:rPr>
        <w:t>行政监督部门对工程建设项目代理活动</w:t>
      </w:r>
    </w:p>
    <w:p w:rsidR="00337351" w:rsidRDefault="00337351" w:rsidP="00337351">
      <w:pPr>
        <w:widowControl/>
        <w:spacing w:line="600" w:lineRule="exact"/>
        <w:jc w:val="center"/>
        <w:rPr>
          <w:rFonts w:ascii="Times New Roman" w:eastAsia="方正小标宋简体" w:hAnsi="Times New Roman"/>
          <w:b/>
          <w:color w:val="000000" w:themeColor="text1"/>
          <w:kern w:val="0"/>
          <w:sz w:val="44"/>
          <w:szCs w:val="44"/>
        </w:rPr>
      </w:pPr>
      <w:r>
        <w:rPr>
          <w:rFonts w:ascii="Times New Roman" w:eastAsia="方正小标宋简体" w:hAnsi="Times New Roman"/>
          <w:b/>
          <w:color w:val="000000" w:themeColor="text1"/>
          <w:kern w:val="0"/>
          <w:sz w:val="44"/>
          <w:szCs w:val="44"/>
        </w:rPr>
        <w:t>评价内容及计分标准</w:t>
      </w:r>
    </w:p>
    <w:p w:rsidR="00337351" w:rsidRDefault="00337351" w:rsidP="00337351">
      <w:pPr>
        <w:widowControl/>
        <w:spacing w:beforeLines="100" w:afterLines="50" w:line="600" w:lineRule="exact"/>
        <w:jc w:val="center"/>
        <w:rPr>
          <w:rFonts w:ascii="Times New Roman" w:hAnsi="Times New Roman"/>
          <w:color w:val="000000" w:themeColor="text1"/>
          <w:kern w:val="0"/>
          <w:sz w:val="24"/>
        </w:rPr>
      </w:pPr>
      <w:r>
        <w:rPr>
          <w:rFonts w:ascii="Times New Roman" w:hAnsi="Times New Roman"/>
          <w:bCs/>
          <w:color w:val="000000" w:themeColor="text1"/>
          <w:kern w:val="0"/>
          <w:szCs w:val="21"/>
        </w:rPr>
        <w:t>（评价单位：）</w:t>
      </w:r>
    </w:p>
    <w:p w:rsidR="00337351" w:rsidRDefault="00337351" w:rsidP="00337351">
      <w:pPr>
        <w:jc w:val="center"/>
        <w:rPr>
          <w:rFonts w:ascii="Times New Roman" w:hAnsi="Times New Roman"/>
          <w:b/>
          <w:bCs/>
          <w:color w:val="000000" w:themeColor="text1"/>
          <w:kern w:val="0"/>
          <w:szCs w:val="21"/>
        </w:rPr>
      </w:pPr>
    </w:p>
    <w:tbl>
      <w:tblPr>
        <w:tblW w:w="89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83"/>
        <w:gridCol w:w="1356"/>
        <w:gridCol w:w="3698"/>
        <w:gridCol w:w="1172"/>
        <w:gridCol w:w="1319"/>
        <w:gridCol w:w="842"/>
        <w:gridCol w:w="8"/>
      </w:tblGrid>
      <w:tr w:rsidR="00337351" w:rsidTr="00C77307">
        <w:trPr>
          <w:gridAfter w:val="1"/>
          <w:wAfter w:w="8" w:type="dxa"/>
          <w:cantSplit/>
          <w:trHeight w:val="567"/>
          <w:jc w:val="center"/>
        </w:trPr>
        <w:tc>
          <w:tcPr>
            <w:tcW w:w="8970" w:type="dxa"/>
            <w:gridSpan w:val="6"/>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rPr>
                <w:rFonts w:ascii="Times New Roman" w:hAnsi="Times New Roman"/>
                <w:b/>
                <w:color w:val="000000" w:themeColor="text1"/>
                <w:kern w:val="0"/>
                <w:szCs w:val="21"/>
              </w:rPr>
            </w:pPr>
            <w:r>
              <w:rPr>
                <w:rFonts w:ascii="Times New Roman" w:hAnsi="Times New Roman"/>
                <w:b/>
                <w:bCs/>
                <w:color w:val="000000" w:themeColor="text1"/>
                <w:kern w:val="0"/>
                <w:szCs w:val="21"/>
              </w:rPr>
              <w:t>代理机构名称：</w:t>
            </w:r>
          </w:p>
        </w:tc>
      </w:tr>
      <w:tr w:rsidR="00337351" w:rsidTr="00C77307">
        <w:trPr>
          <w:gridAfter w:val="1"/>
          <w:wAfter w:w="8" w:type="dxa"/>
          <w:cantSplit/>
          <w:trHeight w:val="567"/>
          <w:jc w:val="center"/>
        </w:trPr>
        <w:tc>
          <w:tcPr>
            <w:tcW w:w="8970" w:type="dxa"/>
            <w:gridSpan w:val="6"/>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rPr>
                <w:rFonts w:ascii="Times New Roman" w:hAnsi="Times New Roman"/>
                <w:b/>
                <w:bCs/>
                <w:color w:val="000000" w:themeColor="text1"/>
                <w:kern w:val="0"/>
                <w:szCs w:val="21"/>
              </w:rPr>
            </w:pPr>
            <w:r>
              <w:rPr>
                <w:rFonts w:ascii="Times New Roman" w:hAnsi="Times New Roman"/>
                <w:b/>
                <w:bCs/>
                <w:color w:val="000000" w:themeColor="text1"/>
                <w:kern w:val="0"/>
                <w:szCs w:val="21"/>
              </w:rPr>
              <w:t>项目名称：</w:t>
            </w:r>
          </w:p>
        </w:tc>
      </w:tr>
      <w:tr w:rsidR="00337351" w:rsidTr="00C77307">
        <w:trPr>
          <w:cantSplit/>
          <w:trHeight w:val="567"/>
          <w:jc w:val="center"/>
        </w:trPr>
        <w:tc>
          <w:tcPr>
            <w:tcW w:w="583" w:type="dxa"/>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序号</w:t>
            </w:r>
          </w:p>
        </w:tc>
        <w:tc>
          <w:tcPr>
            <w:tcW w:w="1356" w:type="dxa"/>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类别</w:t>
            </w:r>
          </w:p>
        </w:tc>
        <w:tc>
          <w:tcPr>
            <w:tcW w:w="3698" w:type="dxa"/>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评价内容</w:t>
            </w:r>
          </w:p>
        </w:tc>
        <w:tc>
          <w:tcPr>
            <w:tcW w:w="1172" w:type="dxa"/>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扣分标准</w:t>
            </w: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扣分点</w:t>
            </w: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color w:val="000000" w:themeColor="text1"/>
                <w:kern w:val="0"/>
                <w:sz w:val="24"/>
              </w:rPr>
            </w:pPr>
            <w:r>
              <w:rPr>
                <w:rFonts w:ascii="Times New Roman" w:hAnsi="Times New Roman"/>
                <w:b/>
                <w:bCs/>
                <w:color w:val="000000" w:themeColor="text1"/>
                <w:kern w:val="0"/>
                <w:sz w:val="18"/>
                <w:szCs w:val="18"/>
              </w:rPr>
              <w:t>计分</w:t>
            </w:r>
          </w:p>
        </w:tc>
      </w:tr>
      <w:tr w:rsidR="00337351" w:rsidTr="00C77307">
        <w:trPr>
          <w:gridAfter w:val="1"/>
          <w:wAfter w:w="8" w:type="dxa"/>
          <w:cantSplit/>
          <w:trHeight w:val="567"/>
          <w:jc w:val="center"/>
        </w:trPr>
        <w:tc>
          <w:tcPr>
            <w:tcW w:w="583" w:type="dxa"/>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r>
              <w:rPr>
                <w:rFonts w:ascii="Times New Roman" w:hAnsi="Times New Roman"/>
                <w:b/>
                <w:color w:val="000000" w:themeColor="text1"/>
                <w:kern w:val="0"/>
                <w:sz w:val="18"/>
                <w:szCs w:val="18"/>
              </w:rPr>
              <w:t>1</w:t>
            </w:r>
          </w:p>
        </w:tc>
        <w:tc>
          <w:tcPr>
            <w:tcW w:w="8387" w:type="dxa"/>
            <w:gridSpan w:val="5"/>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不良行为</w:t>
            </w:r>
            <w:r>
              <w:rPr>
                <w:rFonts w:ascii="Times New Roman" w:hAnsi="Times New Roman"/>
                <w:b/>
                <w:color w:val="000000" w:themeColor="text1"/>
                <w:kern w:val="0"/>
                <w:sz w:val="18"/>
                <w:szCs w:val="18"/>
              </w:rPr>
              <w:t>采用扣分制，</w:t>
            </w:r>
            <w:r>
              <w:rPr>
                <w:rFonts w:ascii="Times New Roman" w:hAnsi="Times New Roman"/>
                <w:b/>
                <w:bCs/>
                <w:color w:val="000000" w:themeColor="text1"/>
                <w:kern w:val="0"/>
                <w:sz w:val="18"/>
                <w:szCs w:val="18"/>
              </w:rPr>
              <w:t>分</w:t>
            </w:r>
            <w:r>
              <w:rPr>
                <w:rFonts w:ascii="Times New Roman" w:hAnsi="Times New Roman"/>
                <w:b/>
                <w:color w:val="000000" w:themeColor="text1"/>
                <w:kern w:val="0"/>
                <w:sz w:val="18"/>
                <w:szCs w:val="18"/>
              </w:rPr>
              <w:t>为：特别严重不良行为、严重不良行为、一般不良行为、</w:t>
            </w:r>
            <w:r>
              <w:rPr>
                <w:rFonts w:ascii="Times New Roman" w:hAnsi="Times New Roman" w:hint="eastAsia"/>
                <w:b/>
                <w:color w:val="000000" w:themeColor="text1"/>
                <w:kern w:val="0"/>
                <w:sz w:val="18"/>
                <w:szCs w:val="18"/>
              </w:rPr>
              <w:t>轻微不良行为</w:t>
            </w:r>
          </w:p>
        </w:tc>
      </w:tr>
      <w:tr w:rsidR="00337351" w:rsidTr="00C77307">
        <w:trPr>
          <w:cantSplit/>
          <w:trHeight w:val="567"/>
          <w:jc w:val="center"/>
        </w:trPr>
        <w:tc>
          <w:tcPr>
            <w:tcW w:w="583" w:type="dxa"/>
            <w:vMerge w:val="restart"/>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1.1</w:t>
            </w:r>
          </w:p>
        </w:tc>
        <w:tc>
          <w:tcPr>
            <w:tcW w:w="1356" w:type="dxa"/>
            <w:vMerge w:val="restart"/>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r>
              <w:rPr>
                <w:rFonts w:ascii="Times New Roman" w:hAnsi="Times New Roman"/>
                <w:b/>
                <w:bCs/>
                <w:color w:val="000000" w:themeColor="text1"/>
                <w:kern w:val="0"/>
                <w:sz w:val="18"/>
                <w:szCs w:val="18"/>
              </w:rPr>
              <w:t>特别严重不良行为（共</w:t>
            </w:r>
            <w:r>
              <w:rPr>
                <w:rFonts w:ascii="Times New Roman" w:hAnsi="Times New Roman"/>
                <w:b/>
                <w:bCs/>
                <w:color w:val="000000" w:themeColor="text1"/>
                <w:kern w:val="0"/>
                <w:sz w:val="18"/>
                <w:szCs w:val="18"/>
              </w:rPr>
              <w:t>9</w:t>
            </w:r>
            <w:r>
              <w:rPr>
                <w:rFonts w:ascii="Times New Roman" w:hAnsi="Times New Roman"/>
                <w:b/>
                <w:bCs/>
                <w:color w:val="000000" w:themeColor="text1"/>
                <w:kern w:val="0"/>
                <w:sz w:val="18"/>
                <w:szCs w:val="18"/>
              </w:rPr>
              <w:t>条）</w:t>
            </w: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bCs/>
                <w:color w:val="000000" w:themeColor="text1"/>
                <w:kern w:val="0"/>
                <w:sz w:val="18"/>
                <w:szCs w:val="18"/>
              </w:rPr>
              <w:t>被有关部门查实以行贿、提供回扣或者给予其他不正当利益等手段承接工程招标代理业务的</w:t>
            </w:r>
          </w:p>
        </w:tc>
        <w:tc>
          <w:tcPr>
            <w:tcW w:w="1172" w:type="dxa"/>
            <w:vMerge w:val="restart"/>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每发生一次扣</w:t>
            </w:r>
            <w:r>
              <w:rPr>
                <w:rFonts w:ascii="Times New Roman" w:hAnsi="Times New Roman"/>
                <w:bCs/>
                <w:color w:val="000000" w:themeColor="text1"/>
                <w:kern w:val="0"/>
                <w:sz w:val="18"/>
                <w:szCs w:val="18"/>
              </w:rPr>
              <w:t>40</w:t>
            </w:r>
            <w:r>
              <w:rPr>
                <w:rFonts w:ascii="Times New Roman" w:hAnsi="Times New Roman"/>
                <w:bCs/>
                <w:color w:val="000000" w:themeColor="text1"/>
                <w:kern w:val="0"/>
                <w:sz w:val="18"/>
                <w:szCs w:val="18"/>
              </w:rPr>
              <w:t>分</w:t>
            </w: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567"/>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w:t>
            </w:r>
            <w:r>
              <w:rPr>
                <w:rFonts w:ascii="Times New Roman" w:hAnsi="Times New Roman"/>
                <w:bCs/>
                <w:color w:val="000000" w:themeColor="text1"/>
                <w:kern w:val="0"/>
                <w:sz w:val="18"/>
                <w:szCs w:val="18"/>
              </w:rPr>
              <w:t>在招标代理过程中</w:t>
            </w:r>
            <w:r>
              <w:rPr>
                <w:rFonts w:ascii="Times New Roman" w:hAnsi="Times New Roman" w:hint="eastAsia"/>
                <w:bCs/>
                <w:color w:val="000000" w:themeColor="text1"/>
                <w:kern w:val="0"/>
                <w:sz w:val="18"/>
                <w:szCs w:val="18"/>
              </w:rPr>
              <w:t>收</w:t>
            </w:r>
            <w:r>
              <w:rPr>
                <w:rFonts w:ascii="Times New Roman" w:hAnsi="Times New Roman"/>
                <w:bCs/>
                <w:color w:val="000000" w:themeColor="text1"/>
                <w:kern w:val="0"/>
                <w:sz w:val="18"/>
                <w:szCs w:val="18"/>
              </w:rPr>
              <w:t>受贿赂或者获取其他不正当利益的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567"/>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3.</w:t>
            </w:r>
            <w:r>
              <w:rPr>
                <w:rFonts w:ascii="Times New Roman" w:hAnsi="Times New Roman"/>
                <w:bCs/>
                <w:color w:val="000000" w:themeColor="text1"/>
                <w:kern w:val="0"/>
                <w:sz w:val="18"/>
                <w:szCs w:val="18"/>
              </w:rPr>
              <w:t>泄露应当保密的与招标投标活动有关的情况和资料的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567"/>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w:t>
            </w:r>
            <w:r>
              <w:rPr>
                <w:rFonts w:ascii="Times New Roman" w:hAnsi="Times New Roman"/>
                <w:bCs/>
                <w:color w:val="000000" w:themeColor="text1"/>
                <w:kern w:val="0"/>
                <w:sz w:val="18"/>
                <w:szCs w:val="18"/>
              </w:rPr>
              <w:t>与招标人或者投标人串通，损害国家利益、社会公共利益或者他人合法权益的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567"/>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w:t>
            </w:r>
            <w:r>
              <w:rPr>
                <w:rFonts w:ascii="Times New Roman" w:hAnsi="Times New Roman"/>
                <w:bCs/>
                <w:color w:val="000000" w:themeColor="text1"/>
                <w:kern w:val="0"/>
                <w:sz w:val="18"/>
                <w:szCs w:val="18"/>
              </w:rPr>
              <w:t>与所代理招标项目的招投标人有隶属关系、合作经营关系以及其他利益关系的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454"/>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w:t>
            </w:r>
            <w:r>
              <w:rPr>
                <w:rFonts w:ascii="Times New Roman" w:hAnsi="Times New Roman"/>
                <w:bCs/>
                <w:color w:val="000000" w:themeColor="text1"/>
                <w:kern w:val="0"/>
                <w:sz w:val="18"/>
                <w:szCs w:val="18"/>
              </w:rPr>
              <w:t>在所代理的招标项目中投标、代理投标或者向该项目投标人提供咨询的，接受委托编制标底的中介机构参加受托编制标底项目的投标或者为该项目的投标人编制投标文件、提供咨询的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567"/>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7.</w:t>
            </w:r>
            <w:r>
              <w:rPr>
                <w:rFonts w:ascii="Times New Roman" w:hAnsi="Times New Roman"/>
                <w:bCs/>
                <w:color w:val="000000" w:themeColor="text1"/>
                <w:kern w:val="0"/>
                <w:sz w:val="18"/>
                <w:szCs w:val="18"/>
              </w:rPr>
              <w:t>伪造、变造、隐匿、销毁应保存的招投标资料的。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567"/>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8.</w:t>
            </w:r>
            <w:r>
              <w:rPr>
                <w:rFonts w:ascii="Times New Roman" w:hAnsi="Times New Roman"/>
                <w:bCs/>
                <w:color w:val="000000" w:themeColor="text1"/>
                <w:kern w:val="0"/>
                <w:sz w:val="18"/>
                <w:szCs w:val="18"/>
              </w:rPr>
              <w:t>对有关行政监督部门依法责令改正的决定拒不执行或者以弄虚作假方式隐瞒真相的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567"/>
          <w:jc w:val="center"/>
        </w:trPr>
        <w:tc>
          <w:tcPr>
            <w:tcW w:w="583"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56"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9.</w:t>
            </w:r>
            <w:r>
              <w:rPr>
                <w:rFonts w:ascii="Times New Roman" w:hAnsi="Times New Roman"/>
                <w:bCs/>
                <w:color w:val="000000" w:themeColor="text1"/>
                <w:kern w:val="0"/>
                <w:sz w:val="18"/>
                <w:szCs w:val="18"/>
              </w:rPr>
              <w:t>在招标活动中发生其他严重违法违规行为的，被相关部门认定的</w:t>
            </w:r>
          </w:p>
        </w:tc>
        <w:tc>
          <w:tcPr>
            <w:tcW w:w="1172" w:type="dxa"/>
            <w:vMerge/>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1319" w:type="dxa"/>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c>
          <w:tcPr>
            <w:tcW w:w="850" w:type="dxa"/>
            <w:gridSpan w:val="2"/>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bCs/>
                <w:color w:val="000000" w:themeColor="text1"/>
                <w:kern w:val="0"/>
                <w:sz w:val="18"/>
                <w:szCs w:val="18"/>
              </w:rPr>
            </w:pPr>
          </w:p>
        </w:tc>
      </w:tr>
      <w:tr w:rsidR="00337351" w:rsidTr="00C77307">
        <w:trPr>
          <w:cantSplit/>
          <w:trHeight w:val="454"/>
          <w:jc w:val="center"/>
        </w:trPr>
        <w:tc>
          <w:tcPr>
            <w:tcW w:w="583" w:type="dxa"/>
            <w:vMerge w:val="restart"/>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color w:val="000000" w:themeColor="text1"/>
                <w:kern w:val="0"/>
                <w:sz w:val="24"/>
              </w:rPr>
            </w:pPr>
            <w:r>
              <w:rPr>
                <w:rFonts w:ascii="Times New Roman" w:hAnsi="Times New Roman"/>
                <w:b/>
                <w:color w:val="000000" w:themeColor="text1"/>
                <w:kern w:val="0"/>
                <w:sz w:val="18"/>
                <w:szCs w:val="18"/>
              </w:rPr>
              <w:t>1.2</w:t>
            </w:r>
          </w:p>
        </w:tc>
        <w:tc>
          <w:tcPr>
            <w:tcW w:w="1356" w:type="dxa"/>
            <w:vMerge w:val="restart"/>
            <w:tcMar>
              <w:top w:w="0" w:type="dxa"/>
              <w:left w:w="108" w:type="dxa"/>
              <w:bottom w:w="0" w:type="dxa"/>
              <w:right w:w="108" w:type="dxa"/>
            </w:tcMar>
            <w:vAlign w:val="center"/>
          </w:tcPr>
          <w:p w:rsidR="00337351" w:rsidRDefault="00337351" w:rsidP="00C77307">
            <w:pPr>
              <w:widowControl/>
              <w:spacing w:line="240" w:lineRule="exact"/>
              <w:rPr>
                <w:rFonts w:ascii="Times New Roman" w:hAnsi="Times New Roman"/>
                <w:color w:val="000000" w:themeColor="text1"/>
                <w:kern w:val="0"/>
                <w:sz w:val="24"/>
              </w:rPr>
            </w:pPr>
            <w:r>
              <w:rPr>
                <w:rFonts w:ascii="Times New Roman" w:hAnsi="Times New Roman"/>
                <w:b/>
                <w:bCs/>
                <w:color w:val="000000" w:themeColor="text1"/>
                <w:kern w:val="0"/>
                <w:sz w:val="18"/>
                <w:szCs w:val="18"/>
              </w:rPr>
              <w:t>严重不良行共（共</w:t>
            </w:r>
            <w:r>
              <w:rPr>
                <w:rFonts w:ascii="Times New Roman" w:hAnsi="Times New Roman" w:hint="eastAsia"/>
                <w:b/>
                <w:bCs/>
                <w:color w:val="000000" w:themeColor="text1"/>
                <w:kern w:val="0"/>
                <w:sz w:val="18"/>
                <w:szCs w:val="18"/>
              </w:rPr>
              <w:t>6</w:t>
            </w:r>
            <w:r>
              <w:rPr>
                <w:rFonts w:ascii="Times New Roman" w:hAnsi="Times New Roman"/>
                <w:b/>
                <w:bCs/>
                <w:color w:val="000000" w:themeColor="text1"/>
                <w:kern w:val="0"/>
                <w:sz w:val="18"/>
                <w:szCs w:val="18"/>
              </w:rPr>
              <w:t>条）</w:t>
            </w: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5"/>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bCs/>
                <w:color w:val="000000" w:themeColor="text1"/>
                <w:kern w:val="0"/>
                <w:sz w:val="18"/>
                <w:szCs w:val="18"/>
              </w:rPr>
              <w:t>没有依照项目审批部门的招标方式进行招标的，依法公开招标的工程，未按规定在公共资源交易中心进行招标的</w:t>
            </w:r>
          </w:p>
        </w:tc>
        <w:tc>
          <w:tcPr>
            <w:tcW w:w="1172" w:type="dxa"/>
            <w:vMerge w:val="restart"/>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次，扣</w:t>
            </w:r>
            <w:r>
              <w:rPr>
                <w:rFonts w:ascii="Times New Roman" w:hAnsi="Times New Roman"/>
                <w:color w:val="000000" w:themeColor="text1"/>
                <w:kern w:val="0"/>
                <w:sz w:val="18"/>
                <w:szCs w:val="18"/>
              </w:rPr>
              <w:t>20</w:t>
            </w:r>
            <w:r>
              <w:rPr>
                <w:rFonts w:ascii="Times New Roman" w:hAnsi="Times New Roman"/>
                <w:color w:val="000000" w:themeColor="text1"/>
                <w:kern w:val="0"/>
                <w:sz w:val="18"/>
                <w:szCs w:val="18"/>
              </w:rPr>
              <w:t>分</w:t>
            </w: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 xml:space="preserve">2. </w:t>
            </w:r>
            <w:r>
              <w:rPr>
                <w:rFonts w:ascii="Times New Roman" w:hAnsi="Times New Roman"/>
                <w:bCs/>
                <w:color w:val="000000" w:themeColor="text1"/>
                <w:kern w:val="0"/>
                <w:sz w:val="18"/>
                <w:szCs w:val="18"/>
              </w:rPr>
              <w:t>因招标文件编制不严谨或其他失误引发争议导致招投标活动无法进行的或造成严重不良后果的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 xml:space="preserve">3. </w:t>
            </w:r>
            <w:r>
              <w:rPr>
                <w:rFonts w:ascii="Times New Roman" w:hAnsi="Times New Roman"/>
                <w:bCs/>
                <w:color w:val="000000" w:themeColor="text1"/>
                <w:kern w:val="0"/>
                <w:sz w:val="18"/>
                <w:szCs w:val="18"/>
              </w:rPr>
              <w:t>遗失应当保存的招投标资料的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w:t>
            </w:r>
            <w:r>
              <w:rPr>
                <w:rFonts w:ascii="Times New Roman" w:hAnsi="Times New Roman"/>
                <w:bCs/>
                <w:color w:val="000000" w:themeColor="text1"/>
                <w:kern w:val="0"/>
                <w:sz w:val="18"/>
                <w:szCs w:val="18"/>
              </w:rPr>
              <w:t>在信用评价、监督检查时弄虚作假的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w:t>
            </w:r>
            <w:r>
              <w:rPr>
                <w:rFonts w:ascii="Times New Roman" w:hAnsi="Times New Roman"/>
                <w:color w:val="000000" w:themeColor="text1"/>
                <w:kern w:val="0"/>
                <w:sz w:val="18"/>
                <w:szCs w:val="18"/>
              </w:rPr>
              <w:t>拒不协助、配合有关行政监督部门（或机构）的监督、检查</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6.</w:t>
            </w:r>
            <w:r>
              <w:rPr>
                <w:rFonts w:ascii="Times New Roman" w:hAnsi="Times New Roman" w:hint="eastAsia"/>
                <w:bCs/>
                <w:color w:val="000000" w:themeColor="text1"/>
                <w:kern w:val="0"/>
                <w:sz w:val="18"/>
                <w:szCs w:val="18"/>
              </w:rPr>
              <w:t>抽查中发现招标文件违反相关法律法规的。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restart"/>
            <w:vAlign w:val="center"/>
          </w:tcPr>
          <w:p w:rsidR="00337351" w:rsidRDefault="00337351" w:rsidP="00C77307">
            <w:pPr>
              <w:widowControl/>
              <w:spacing w:line="240" w:lineRule="exact"/>
              <w:jc w:val="center"/>
              <w:rPr>
                <w:rFonts w:ascii="Times New Roman" w:hAnsi="Times New Roman"/>
                <w:b/>
                <w:color w:val="000000" w:themeColor="text1"/>
                <w:kern w:val="0"/>
                <w:sz w:val="18"/>
                <w:szCs w:val="18"/>
              </w:rPr>
            </w:pPr>
            <w:r>
              <w:rPr>
                <w:rFonts w:ascii="Times New Roman" w:hAnsi="Times New Roman"/>
                <w:b/>
                <w:color w:val="000000" w:themeColor="text1"/>
                <w:kern w:val="0"/>
                <w:sz w:val="18"/>
                <w:szCs w:val="18"/>
              </w:rPr>
              <w:t>1.3</w:t>
            </w:r>
          </w:p>
        </w:tc>
        <w:tc>
          <w:tcPr>
            <w:tcW w:w="1356" w:type="dxa"/>
            <w:vMerge w:val="restart"/>
            <w:vAlign w:val="center"/>
          </w:tcPr>
          <w:p w:rsidR="00337351" w:rsidRDefault="00337351" w:rsidP="00C77307">
            <w:pPr>
              <w:widowControl/>
              <w:spacing w:line="240" w:lineRule="exact"/>
              <w:jc w:val="center"/>
              <w:rPr>
                <w:rFonts w:ascii="Times New Roman" w:hAnsi="Times New Roman"/>
                <w:color w:val="000000" w:themeColor="text1"/>
                <w:kern w:val="0"/>
                <w:sz w:val="24"/>
              </w:rPr>
            </w:pPr>
            <w:r>
              <w:rPr>
                <w:rFonts w:ascii="Times New Roman" w:hAnsi="Times New Roman" w:hint="eastAsia"/>
                <w:b/>
                <w:bCs/>
                <w:color w:val="000000" w:themeColor="text1"/>
                <w:kern w:val="0"/>
                <w:sz w:val="18"/>
                <w:szCs w:val="18"/>
              </w:rPr>
              <w:t>一般</w:t>
            </w:r>
            <w:r>
              <w:rPr>
                <w:rFonts w:ascii="Times New Roman" w:hAnsi="Times New Roman"/>
                <w:b/>
                <w:bCs/>
                <w:color w:val="000000" w:themeColor="text1"/>
                <w:kern w:val="0"/>
                <w:sz w:val="18"/>
                <w:szCs w:val="18"/>
              </w:rPr>
              <w:t>不良行为（共</w:t>
            </w:r>
            <w:r>
              <w:rPr>
                <w:rFonts w:ascii="Times New Roman" w:hAnsi="Times New Roman"/>
                <w:b/>
                <w:bCs/>
                <w:color w:val="000000" w:themeColor="text1"/>
                <w:kern w:val="0"/>
                <w:sz w:val="18"/>
                <w:szCs w:val="18"/>
              </w:rPr>
              <w:t>5</w:t>
            </w:r>
            <w:r>
              <w:rPr>
                <w:rFonts w:ascii="Times New Roman" w:hAnsi="Times New Roman"/>
                <w:b/>
                <w:bCs/>
                <w:color w:val="000000" w:themeColor="text1"/>
                <w:kern w:val="0"/>
                <w:sz w:val="18"/>
                <w:szCs w:val="18"/>
              </w:rPr>
              <w:t>条）</w:t>
            </w: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bCs/>
                <w:color w:val="000000" w:themeColor="text1"/>
                <w:kern w:val="0"/>
                <w:sz w:val="18"/>
                <w:szCs w:val="18"/>
              </w:rPr>
              <w:t>帮助招标人规避招标或肢解发包的</w:t>
            </w:r>
          </w:p>
        </w:tc>
        <w:tc>
          <w:tcPr>
            <w:tcW w:w="1172" w:type="dxa"/>
            <w:vMerge w:val="restart"/>
            <w:vAlign w:val="center"/>
          </w:tcPr>
          <w:p w:rsidR="00337351" w:rsidRDefault="00337351" w:rsidP="00C77307">
            <w:pPr>
              <w:widowControl/>
              <w:spacing w:line="240" w:lineRule="exact"/>
              <w:jc w:val="center"/>
              <w:rPr>
                <w:rFonts w:ascii="Times New Roman" w:hAnsi="Times New Roman"/>
                <w:color w:val="000000" w:themeColor="text1"/>
                <w:kern w:val="0"/>
                <w:sz w:val="24"/>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次，扣</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分</w:t>
            </w: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454"/>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w:t>
            </w:r>
            <w:r>
              <w:rPr>
                <w:rFonts w:ascii="Times New Roman" w:hAnsi="Times New Roman"/>
                <w:bCs/>
                <w:color w:val="000000" w:themeColor="text1"/>
                <w:kern w:val="0"/>
                <w:sz w:val="18"/>
                <w:szCs w:val="18"/>
              </w:rPr>
              <w:t>无正当理由推迟开标或不组织开标或专职人员迟到不能按时开标以及擅自中途停止项目的招标投标活动的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3.</w:t>
            </w:r>
            <w:r>
              <w:rPr>
                <w:rFonts w:ascii="Times New Roman" w:hAnsi="Times New Roman"/>
                <w:bCs/>
                <w:color w:val="000000" w:themeColor="text1"/>
                <w:kern w:val="0"/>
                <w:sz w:val="18"/>
                <w:szCs w:val="18"/>
              </w:rPr>
              <w:t>招标文件、工程量清单、答疑、澄清或补充说明等资料</w:t>
            </w:r>
            <w:r>
              <w:rPr>
                <w:rFonts w:ascii="Times New Roman" w:hAnsi="Times New Roman" w:hint="eastAsia"/>
                <w:bCs/>
                <w:color w:val="000000" w:themeColor="text1"/>
                <w:kern w:val="0"/>
                <w:sz w:val="18"/>
                <w:szCs w:val="18"/>
              </w:rPr>
              <w:t>存在</w:t>
            </w:r>
            <w:r>
              <w:rPr>
                <w:rFonts w:ascii="Times New Roman" w:hAnsi="Times New Roman"/>
                <w:bCs/>
                <w:color w:val="000000" w:themeColor="text1"/>
                <w:kern w:val="0"/>
                <w:sz w:val="18"/>
                <w:szCs w:val="18"/>
              </w:rPr>
              <w:t>：投标时需提供检测报告、授权书、主要材料参考品牌少于三个、原厂家证明等要求。</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454"/>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w:t>
            </w:r>
            <w:r>
              <w:rPr>
                <w:rFonts w:ascii="Times New Roman" w:hAnsi="Times New Roman"/>
                <w:bCs/>
                <w:color w:val="000000" w:themeColor="text1"/>
                <w:kern w:val="0"/>
                <w:sz w:val="18"/>
                <w:szCs w:val="18"/>
              </w:rPr>
              <w:t>被行政监督部门通报批评，或警告，或在行政监督部门处理投诉活动过程中不积极配合，或者和当事人串通影响投诉处理的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w:t>
            </w:r>
            <w:r>
              <w:rPr>
                <w:rFonts w:ascii="Times New Roman" w:hAnsi="Times New Roman"/>
                <w:bCs/>
                <w:color w:val="000000" w:themeColor="text1"/>
                <w:kern w:val="0"/>
                <w:sz w:val="18"/>
                <w:szCs w:val="18"/>
              </w:rPr>
              <w:t>不受理或不按规定受理异议或异议处理不按照规定进行的。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454"/>
          <w:jc w:val="center"/>
        </w:trPr>
        <w:tc>
          <w:tcPr>
            <w:tcW w:w="583" w:type="dxa"/>
            <w:vMerge w:val="restart"/>
            <w:tcMar>
              <w:top w:w="0" w:type="dxa"/>
              <w:left w:w="108" w:type="dxa"/>
              <w:bottom w:w="0" w:type="dxa"/>
              <w:right w:w="108" w:type="dxa"/>
            </w:tcMar>
            <w:vAlign w:val="center"/>
          </w:tcPr>
          <w:p w:rsidR="00337351" w:rsidRDefault="00337351" w:rsidP="00C77307">
            <w:pPr>
              <w:widowControl/>
              <w:spacing w:before="100" w:beforeAutospacing="1" w:after="100" w:afterAutospacing="1" w:line="240" w:lineRule="exact"/>
              <w:jc w:val="center"/>
              <w:rPr>
                <w:rFonts w:ascii="Times New Roman" w:hAnsi="Times New Roman"/>
                <w:b/>
                <w:color w:val="000000" w:themeColor="text1"/>
                <w:kern w:val="0"/>
                <w:sz w:val="24"/>
              </w:rPr>
            </w:pPr>
            <w:r>
              <w:rPr>
                <w:rFonts w:ascii="Times New Roman" w:hAnsi="Times New Roman"/>
                <w:b/>
                <w:color w:val="000000" w:themeColor="text1"/>
                <w:kern w:val="0"/>
                <w:sz w:val="18"/>
                <w:szCs w:val="18"/>
              </w:rPr>
              <w:t>1.4</w:t>
            </w:r>
          </w:p>
        </w:tc>
        <w:tc>
          <w:tcPr>
            <w:tcW w:w="1356" w:type="dxa"/>
            <w:vMerge w:val="restart"/>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r>
              <w:rPr>
                <w:rFonts w:ascii="Times New Roman" w:hAnsi="Times New Roman" w:hint="eastAsia"/>
                <w:b/>
                <w:bCs/>
                <w:color w:val="000000" w:themeColor="text1"/>
                <w:kern w:val="0"/>
                <w:sz w:val="18"/>
                <w:szCs w:val="18"/>
              </w:rPr>
              <w:t>轻微</w:t>
            </w:r>
            <w:r>
              <w:rPr>
                <w:rFonts w:ascii="Times New Roman" w:hAnsi="Times New Roman"/>
                <w:b/>
                <w:bCs/>
                <w:color w:val="000000" w:themeColor="text1"/>
                <w:kern w:val="0"/>
                <w:sz w:val="18"/>
                <w:szCs w:val="18"/>
              </w:rPr>
              <w:t>不良行为（共</w:t>
            </w:r>
            <w:r>
              <w:rPr>
                <w:rFonts w:ascii="Times New Roman" w:hAnsi="Times New Roman"/>
                <w:b/>
                <w:bCs/>
                <w:color w:val="000000" w:themeColor="text1"/>
                <w:kern w:val="0"/>
                <w:sz w:val="18"/>
                <w:szCs w:val="18"/>
              </w:rPr>
              <w:t>2</w:t>
            </w:r>
            <w:r>
              <w:rPr>
                <w:rFonts w:ascii="Times New Roman" w:hAnsi="Times New Roman" w:hint="eastAsia"/>
                <w:b/>
                <w:bCs/>
                <w:color w:val="000000" w:themeColor="text1"/>
                <w:kern w:val="0"/>
                <w:sz w:val="18"/>
                <w:szCs w:val="18"/>
              </w:rPr>
              <w:t>0</w:t>
            </w:r>
            <w:r>
              <w:rPr>
                <w:rFonts w:ascii="Times New Roman" w:hAnsi="Times New Roman"/>
                <w:b/>
                <w:bCs/>
                <w:color w:val="000000" w:themeColor="text1"/>
                <w:kern w:val="0"/>
                <w:sz w:val="18"/>
                <w:szCs w:val="18"/>
              </w:rPr>
              <w:t>条）</w:t>
            </w:r>
          </w:p>
        </w:tc>
        <w:tc>
          <w:tcPr>
            <w:tcW w:w="3698" w:type="dxa"/>
            <w:tcMar>
              <w:top w:w="0" w:type="dxa"/>
              <w:left w:w="108" w:type="dxa"/>
              <w:bottom w:w="0" w:type="dxa"/>
              <w:right w:w="108" w:type="dxa"/>
            </w:tcMar>
            <w:vAlign w:val="center"/>
          </w:tcPr>
          <w:p w:rsidR="00337351" w:rsidRDefault="00337351" w:rsidP="00C77307">
            <w:pPr>
              <w:widowControl/>
              <w:spacing w:line="240" w:lineRule="exact"/>
              <w:ind w:leftChars="-50" w:left="-104" w:hanging="1"/>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bCs/>
                <w:color w:val="000000" w:themeColor="text1"/>
                <w:kern w:val="0"/>
                <w:sz w:val="18"/>
                <w:szCs w:val="18"/>
              </w:rPr>
              <w:t>未按规定将应当备案的招标文件（包括对已发出招标文件进行的澄清或者修改）报行政监督部门备案</w:t>
            </w:r>
          </w:p>
        </w:tc>
        <w:tc>
          <w:tcPr>
            <w:tcW w:w="1172" w:type="dxa"/>
            <w:vMerge w:val="restart"/>
            <w:tcMar>
              <w:top w:w="0" w:type="dxa"/>
              <w:left w:w="108" w:type="dxa"/>
              <w:bottom w:w="0" w:type="dxa"/>
              <w:right w:w="108" w:type="dxa"/>
            </w:tcMar>
            <w:vAlign w:val="center"/>
          </w:tcPr>
          <w:p w:rsidR="00337351" w:rsidRDefault="00337351" w:rsidP="00C77307">
            <w:pPr>
              <w:widowControl/>
              <w:spacing w:line="240" w:lineRule="exact"/>
              <w:ind w:left="90" w:hangingChars="50" w:hanging="90"/>
              <w:jc w:val="center"/>
              <w:rPr>
                <w:rFonts w:ascii="Times New Roman" w:hAnsi="Times New Roman"/>
                <w:color w:val="000000" w:themeColor="text1"/>
                <w:kern w:val="0"/>
                <w:sz w:val="24"/>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次，扣</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分。</w:t>
            </w: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454"/>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2.</w:t>
            </w:r>
            <w:r>
              <w:rPr>
                <w:rFonts w:ascii="Times New Roman" w:hAnsi="Times New Roman"/>
                <w:bCs/>
                <w:color w:val="000000" w:themeColor="text1"/>
                <w:kern w:val="0"/>
                <w:sz w:val="18"/>
                <w:szCs w:val="18"/>
              </w:rPr>
              <w:t>招标项目未按规定采用工程量清单计价的或发现清单和控制价出现重大错误和遗漏事项未向行政监督部门报告的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454"/>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 xml:space="preserve">3. </w:t>
            </w:r>
            <w:r>
              <w:rPr>
                <w:rFonts w:ascii="Times New Roman" w:hAnsi="Times New Roman"/>
                <w:bCs/>
                <w:color w:val="000000" w:themeColor="text1"/>
                <w:kern w:val="0"/>
                <w:sz w:val="18"/>
                <w:szCs w:val="18"/>
              </w:rPr>
              <w:t>因招标文件、答疑、澄清或补充说明等资料编制不严谨、前后条款互相矛盾引发争议或引起投标人理解混乱的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4.</w:t>
            </w:r>
            <w:r>
              <w:rPr>
                <w:rFonts w:ascii="Times New Roman" w:hAnsi="Times New Roman"/>
                <w:bCs/>
                <w:color w:val="000000" w:themeColor="text1"/>
                <w:kern w:val="0"/>
                <w:sz w:val="18"/>
                <w:szCs w:val="18"/>
              </w:rPr>
              <w:t>开标现场</w:t>
            </w:r>
            <w:r>
              <w:rPr>
                <w:rFonts w:ascii="Times New Roman" w:hAnsi="Times New Roman"/>
                <w:bCs/>
                <w:color w:val="000000" w:themeColor="text1"/>
                <w:kern w:val="0"/>
                <w:sz w:val="18"/>
                <w:szCs w:val="18"/>
              </w:rPr>
              <w:t>a</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b</w:t>
            </w:r>
            <w:r>
              <w:rPr>
                <w:rFonts w:ascii="Times New Roman" w:hAnsi="Times New Roman"/>
                <w:bCs/>
                <w:color w:val="000000" w:themeColor="text1"/>
                <w:kern w:val="0"/>
                <w:sz w:val="18"/>
                <w:szCs w:val="18"/>
              </w:rPr>
              <w:t>值抽取错误的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5.</w:t>
            </w:r>
            <w:r>
              <w:rPr>
                <w:rFonts w:ascii="Times New Roman" w:hAnsi="Times New Roman"/>
                <w:bCs/>
                <w:color w:val="000000" w:themeColor="text1"/>
                <w:kern w:val="0"/>
                <w:sz w:val="18"/>
                <w:szCs w:val="18"/>
              </w:rPr>
              <w:t>开标记录、评标数据统计出现错误并影响中标结果的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6.</w:t>
            </w:r>
            <w:r>
              <w:rPr>
                <w:rFonts w:ascii="Times New Roman" w:hAnsi="Times New Roman"/>
                <w:bCs/>
                <w:color w:val="000000" w:themeColor="text1"/>
                <w:kern w:val="0"/>
                <w:sz w:val="18"/>
                <w:szCs w:val="18"/>
              </w:rPr>
              <w:t>评审中未对评标资料进行检查、核对，出现不完整、不准确情况</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7.</w:t>
            </w:r>
            <w:r>
              <w:rPr>
                <w:rFonts w:ascii="Times New Roman" w:hAnsi="Times New Roman" w:hint="eastAsia"/>
                <w:bCs/>
                <w:color w:val="000000" w:themeColor="text1"/>
                <w:kern w:val="0"/>
                <w:sz w:val="18"/>
                <w:szCs w:val="18"/>
              </w:rPr>
              <w:t>挂网的</w:t>
            </w:r>
            <w:r>
              <w:rPr>
                <w:rFonts w:ascii="Times New Roman" w:hAnsi="Times New Roman"/>
                <w:bCs/>
                <w:color w:val="000000" w:themeColor="text1"/>
                <w:kern w:val="0"/>
                <w:sz w:val="18"/>
                <w:szCs w:val="18"/>
              </w:rPr>
              <w:t>招标项目资料</w:t>
            </w:r>
            <w:r>
              <w:rPr>
                <w:rFonts w:ascii="Times New Roman" w:hAnsi="Times New Roman" w:hint="eastAsia"/>
                <w:bCs/>
                <w:color w:val="000000" w:themeColor="text1"/>
                <w:kern w:val="0"/>
                <w:sz w:val="18"/>
                <w:szCs w:val="18"/>
              </w:rPr>
              <w:t>（包括招标文件、项目注册申报材料等）与备案文件、书面报告不一致</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8</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违反公管局或行政监督部门相关规定的（包括但不限于以下内容）：未按规定进行标前论证的、未按规定进行专家抽取的</w:t>
            </w:r>
          </w:p>
        </w:tc>
        <w:tc>
          <w:tcPr>
            <w:tcW w:w="1172" w:type="dxa"/>
            <w:vMerge w:val="restart"/>
            <w:vAlign w:val="center"/>
          </w:tcPr>
          <w:p w:rsidR="00337351" w:rsidRDefault="00337351" w:rsidP="00C77307">
            <w:pPr>
              <w:widowControl/>
              <w:spacing w:line="240" w:lineRule="exact"/>
              <w:jc w:val="center"/>
              <w:rPr>
                <w:rFonts w:ascii="Times New Roman" w:hAnsi="Times New Roman"/>
                <w:color w:val="000000" w:themeColor="text1"/>
                <w:kern w:val="0"/>
                <w:sz w:val="24"/>
              </w:rPr>
            </w:pPr>
            <w:r>
              <w:rPr>
                <w:rFonts w:ascii="Times New Roman" w:hAnsi="Times New Roman"/>
                <w:color w:val="000000" w:themeColor="text1"/>
                <w:kern w:val="0"/>
                <w:sz w:val="18"/>
                <w:szCs w:val="18"/>
              </w:rPr>
              <w:t>每发生</w:t>
            </w:r>
            <w:r>
              <w:rPr>
                <w:rFonts w:ascii="Times New Roman" w:hAnsi="Times New Roman"/>
                <w:color w:val="000000" w:themeColor="text1"/>
                <w:kern w:val="0"/>
                <w:sz w:val="18"/>
                <w:szCs w:val="18"/>
              </w:rPr>
              <w:t>1</w:t>
            </w:r>
            <w:r>
              <w:rPr>
                <w:rFonts w:ascii="Times New Roman" w:hAnsi="Times New Roman"/>
                <w:color w:val="000000" w:themeColor="text1"/>
                <w:kern w:val="0"/>
                <w:sz w:val="18"/>
                <w:szCs w:val="18"/>
              </w:rPr>
              <w:t>次，扣</w:t>
            </w:r>
            <w:r>
              <w:rPr>
                <w:rFonts w:ascii="Times New Roman" w:hAnsi="Times New Roman"/>
                <w:color w:val="000000" w:themeColor="text1"/>
                <w:kern w:val="0"/>
                <w:sz w:val="18"/>
                <w:szCs w:val="18"/>
              </w:rPr>
              <w:t>2</w:t>
            </w:r>
            <w:r>
              <w:rPr>
                <w:rFonts w:ascii="Times New Roman" w:hAnsi="Times New Roman"/>
                <w:color w:val="000000" w:themeColor="text1"/>
                <w:kern w:val="0"/>
                <w:sz w:val="18"/>
                <w:szCs w:val="18"/>
              </w:rPr>
              <w:t>分</w:t>
            </w: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9</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不按要求使用备案表或招标文件示范文本的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10.</w:t>
            </w:r>
            <w:r>
              <w:rPr>
                <w:rFonts w:ascii="Times New Roman" w:hAnsi="Times New Roman"/>
                <w:bCs/>
                <w:color w:val="000000" w:themeColor="text1"/>
                <w:kern w:val="0"/>
                <w:sz w:val="18"/>
                <w:szCs w:val="18"/>
              </w:rPr>
              <w:t>招标文件设置类似业绩而未明确应当公示的内容</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454"/>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hint="eastAsia"/>
                <w:bCs/>
                <w:color w:val="000000" w:themeColor="text1"/>
                <w:kern w:val="0"/>
                <w:sz w:val="18"/>
                <w:szCs w:val="18"/>
              </w:rPr>
              <w:t>1</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招标文件关键内容填错的（或与招标人实际提供的资料不一致的），包括但不限于以下内容：</w:t>
            </w:r>
            <w:r>
              <w:rPr>
                <w:rFonts w:ascii="Times New Roman" w:hAnsi="Times New Roman"/>
                <w:bCs/>
                <w:color w:val="000000" w:themeColor="text1"/>
                <w:kern w:val="0"/>
                <w:sz w:val="18"/>
                <w:szCs w:val="18"/>
              </w:rPr>
              <w:t>a</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b</w:t>
            </w:r>
            <w:r>
              <w:rPr>
                <w:rFonts w:ascii="Times New Roman" w:hAnsi="Times New Roman"/>
                <w:bCs/>
                <w:color w:val="000000" w:themeColor="text1"/>
                <w:kern w:val="0"/>
                <w:sz w:val="18"/>
                <w:szCs w:val="18"/>
              </w:rPr>
              <w:t>值、投标企业资质、报名时间、保证金到账时间、金额、业绩条件、工程付款方式、工期、质量标准、专用合同条款等。</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hint="eastAsia"/>
                <w:bCs/>
                <w:color w:val="000000" w:themeColor="text1"/>
                <w:kern w:val="0"/>
                <w:sz w:val="18"/>
                <w:szCs w:val="18"/>
              </w:rPr>
              <w:t>2</w:t>
            </w:r>
            <w:r>
              <w:rPr>
                <w:rFonts w:ascii="Times New Roman" w:hAnsi="Times New Roman"/>
                <w:bCs/>
                <w:color w:val="000000" w:themeColor="text1"/>
                <w:kern w:val="0"/>
                <w:sz w:val="18"/>
                <w:szCs w:val="18"/>
              </w:rPr>
              <w:t>.</w:t>
            </w:r>
            <w:r>
              <w:rPr>
                <w:rFonts w:ascii="Times New Roman" w:hAnsi="Times New Roman" w:hint="eastAsia"/>
                <w:bCs/>
                <w:color w:val="000000" w:themeColor="text1"/>
                <w:kern w:val="0"/>
                <w:sz w:val="18"/>
                <w:szCs w:val="18"/>
              </w:rPr>
              <w:t>因代理机构原因项目注册申报两次及以上不通过的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hint="eastAsia"/>
                <w:bCs/>
                <w:color w:val="000000" w:themeColor="text1"/>
                <w:kern w:val="0"/>
                <w:sz w:val="18"/>
                <w:szCs w:val="18"/>
              </w:rPr>
              <w:t>3</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遗漏上传</w:t>
            </w:r>
            <w:r>
              <w:rPr>
                <w:rFonts w:ascii="Times New Roman" w:hAnsi="Times New Roman" w:hint="eastAsia"/>
                <w:bCs/>
                <w:color w:val="000000" w:themeColor="text1"/>
                <w:kern w:val="0"/>
                <w:sz w:val="18"/>
                <w:szCs w:val="18"/>
              </w:rPr>
              <w:t>资料的：包括</w:t>
            </w:r>
            <w:r>
              <w:rPr>
                <w:rFonts w:ascii="Times New Roman" w:hAnsi="Times New Roman"/>
                <w:bCs/>
                <w:color w:val="000000" w:themeColor="text1"/>
                <w:kern w:val="0"/>
                <w:sz w:val="18"/>
                <w:szCs w:val="18"/>
              </w:rPr>
              <w:t>招标文件相关附件</w:t>
            </w:r>
            <w:r>
              <w:rPr>
                <w:rFonts w:ascii="Times New Roman" w:hAnsi="Times New Roman" w:hint="eastAsia"/>
                <w:bCs/>
                <w:color w:val="000000" w:themeColor="text1"/>
                <w:kern w:val="0"/>
                <w:sz w:val="18"/>
                <w:szCs w:val="18"/>
              </w:rPr>
              <w:t>、项目注册相关附件（项目立项、施工图审查、工程量清单、资金来源）</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hint="eastAsia"/>
                <w:bCs/>
                <w:color w:val="000000" w:themeColor="text1"/>
                <w:kern w:val="0"/>
                <w:sz w:val="18"/>
                <w:szCs w:val="18"/>
              </w:rPr>
              <w:t>4</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组织评标时，发出的招标文件与供评委会评标所使用的招标文件不一致的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hint="eastAsia"/>
                <w:bCs/>
                <w:color w:val="000000" w:themeColor="text1"/>
                <w:kern w:val="0"/>
                <w:sz w:val="18"/>
                <w:szCs w:val="18"/>
              </w:rPr>
              <w:t>5</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项目评审有否决投标情形不报告的、专家评审错误不报告的、项目开标及项目开标流标不报告的、项目评审流标不报告的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bCs/>
                <w:color w:val="000000" w:themeColor="text1"/>
                <w:kern w:val="0"/>
                <w:sz w:val="18"/>
                <w:szCs w:val="18"/>
              </w:rPr>
              <w:t>1</w:t>
            </w:r>
            <w:r>
              <w:rPr>
                <w:rFonts w:ascii="Times New Roman" w:hAnsi="Times New Roman" w:hint="eastAsia"/>
                <w:bCs/>
                <w:color w:val="000000" w:themeColor="text1"/>
                <w:kern w:val="0"/>
                <w:sz w:val="18"/>
                <w:szCs w:val="18"/>
              </w:rPr>
              <w:t>6</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发布的中标候选人公示和中标结果公示或发放的中标通知书内容有误、不全的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17</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因投标人异议或投诉，经查评标专家评审有误，未对专家再次进行考评的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18</w:t>
            </w:r>
            <w:r>
              <w:rPr>
                <w:rFonts w:ascii="Times New Roman" w:hAnsi="Times New Roman"/>
                <w:bCs/>
                <w:color w:val="000000" w:themeColor="text1"/>
                <w:kern w:val="0"/>
                <w:sz w:val="18"/>
                <w:szCs w:val="18"/>
              </w:rPr>
              <w:t>.</w:t>
            </w:r>
            <w:r>
              <w:rPr>
                <w:rFonts w:ascii="Times New Roman" w:hAnsi="Times New Roman"/>
                <w:bCs/>
                <w:color w:val="000000" w:themeColor="text1"/>
                <w:kern w:val="0"/>
                <w:sz w:val="18"/>
                <w:szCs w:val="18"/>
              </w:rPr>
              <w:t>未按规定及时移交招投标书面报告的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19.</w:t>
            </w:r>
            <w:r>
              <w:rPr>
                <w:rFonts w:ascii="Times New Roman" w:hAnsi="Times New Roman" w:hint="eastAsia"/>
                <w:bCs/>
                <w:color w:val="000000" w:themeColor="text1"/>
                <w:kern w:val="0"/>
                <w:sz w:val="18"/>
                <w:szCs w:val="18"/>
              </w:rPr>
              <w:t>未及时对工程项目招标报表进行填报或报表内容填写错误，每错一处按一次计算，以此类推</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583"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1356" w:type="dxa"/>
            <w:vMerge/>
            <w:vAlign w:val="center"/>
          </w:tcPr>
          <w:p w:rsidR="00337351" w:rsidRDefault="00337351" w:rsidP="00C77307">
            <w:pPr>
              <w:widowControl/>
              <w:spacing w:line="240" w:lineRule="exact"/>
              <w:jc w:val="left"/>
              <w:rPr>
                <w:rFonts w:ascii="Times New Roman" w:hAnsi="Times New Roman"/>
                <w:color w:val="000000" w:themeColor="text1"/>
                <w:kern w:val="0"/>
                <w:sz w:val="24"/>
              </w:rPr>
            </w:pPr>
          </w:p>
        </w:tc>
        <w:tc>
          <w:tcPr>
            <w:tcW w:w="3698" w:type="dxa"/>
            <w:vAlign w:val="center"/>
          </w:tcPr>
          <w:p w:rsidR="00337351" w:rsidRDefault="00337351" w:rsidP="00C77307">
            <w:pPr>
              <w:widowControl/>
              <w:spacing w:line="240" w:lineRule="exact"/>
              <w:rPr>
                <w:rFonts w:ascii="Times New Roman" w:hAnsi="Times New Roman"/>
                <w:bCs/>
                <w:color w:val="000000" w:themeColor="text1"/>
                <w:kern w:val="0"/>
                <w:sz w:val="18"/>
                <w:szCs w:val="18"/>
              </w:rPr>
            </w:pPr>
            <w:r>
              <w:rPr>
                <w:rFonts w:ascii="Times New Roman" w:hAnsi="Times New Roman" w:hint="eastAsia"/>
                <w:bCs/>
                <w:color w:val="000000" w:themeColor="text1"/>
                <w:kern w:val="0"/>
                <w:sz w:val="18"/>
                <w:szCs w:val="18"/>
              </w:rPr>
              <w:t>20.</w:t>
            </w:r>
            <w:r>
              <w:rPr>
                <w:rFonts w:ascii="Times New Roman" w:hAnsi="Times New Roman" w:hint="eastAsia"/>
                <w:bCs/>
                <w:color w:val="000000" w:themeColor="text1"/>
                <w:kern w:val="0"/>
                <w:sz w:val="18"/>
                <w:szCs w:val="18"/>
              </w:rPr>
              <w:t>违反</w:t>
            </w:r>
            <w:r>
              <w:rPr>
                <w:rFonts w:ascii="Times New Roman" w:hAnsi="Times New Roman"/>
                <w:bCs/>
                <w:color w:val="000000" w:themeColor="text1"/>
                <w:kern w:val="0"/>
                <w:sz w:val="18"/>
                <w:szCs w:val="18"/>
              </w:rPr>
              <w:t>《芜湖市政府工程建设项目招标人负面清单》</w:t>
            </w:r>
            <w:r>
              <w:rPr>
                <w:rFonts w:ascii="Times New Roman" w:hAnsi="Times New Roman" w:hint="eastAsia"/>
                <w:color w:val="000000" w:themeColor="text1"/>
                <w:kern w:val="0"/>
                <w:sz w:val="18"/>
                <w:szCs w:val="18"/>
              </w:rPr>
              <w:t>中相关条款的</w:t>
            </w:r>
          </w:p>
        </w:tc>
        <w:tc>
          <w:tcPr>
            <w:tcW w:w="1172" w:type="dxa"/>
            <w:vMerge/>
            <w:vAlign w:val="center"/>
          </w:tcPr>
          <w:p w:rsidR="00337351" w:rsidRDefault="00337351" w:rsidP="00C77307">
            <w:pPr>
              <w:widowControl/>
              <w:spacing w:line="240" w:lineRule="exact"/>
              <w:jc w:val="center"/>
              <w:rPr>
                <w:rFonts w:ascii="Times New Roman" w:hAnsi="Times New Roman"/>
                <w:color w:val="000000" w:themeColor="text1"/>
                <w:kern w:val="0"/>
                <w:sz w:val="18"/>
                <w:szCs w:val="18"/>
              </w:rPr>
            </w:pPr>
          </w:p>
        </w:tc>
        <w:tc>
          <w:tcPr>
            <w:tcW w:w="1319" w:type="dxa"/>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567"/>
          <w:jc w:val="center"/>
        </w:trPr>
        <w:tc>
          <w:tcPr>
            <w:tcW w:w="8128" w:type="dxa"/>
            <w:gridSpan w:val="5"/>
            <w:vAlign w:val="center"/>
          </w:tcPr>
          <w:p w:rsidR="00337351" w:rsidRDefault="00337351" w:rsidP="00C77307">
            <w:pPr>
              <w:widowControl/>
              <w:spacing w:line="240" w:lineRule="exact"/>
              <w:jc w:val="center"/>
              <w:rPr>
                <w:rFonts w:ascii="Times New Roman" w:hAnsi="Times New Roman"/>
                <w:b/>
                <w:color w:val="000000" w:themeColor="text1"/>
                <w:kern w:val="0"/>
                <w:sz w:val="18"/>
                <w:szCs w:val="18"/>
              </w:rPr>
            </w:pPr>
            <w:r>
              <w:rPr>
                <w:rFonts w:ascii="Times New Roman" w:hAnsi="Times New Roman" w:hint="eastAsia"/>
                <w:b/>
                <w:color w:val="000000" w:themeColor="text1"/>
                <w:kern w:val="0"/>
                <w:sz w:val="18"/>
                <w:szCs w:val="18"/>
              </w:rPr>
              <w:t>总计分</w:t>
            </w:r>
          </w:p>
        </w:tc>
        <w:tc>
          <w:tcPr>
            <w:tcW w:w="850" w:type="dxa"/>
            <w:gridSpan w:val="2"/>
            <w:tcMar>
              <w:top w:w="0" w:type="dxa"/>
              <w:left w:w="108" w:type="dxa"/>
              <w:bottom w:w="0" w:type="dxa"/>
              <w:right w:w="108" w:type="dxa"/>
            </w:tcMar>
            <w:vAlign w:val="center"/>
          </w:tcPr>
          <w:p w:rsidR="00337351" w:rsidRDefault="00337351" w:rsidP="00C77307">
            <w:pPr>
              <w:widowControl/>
              <w:spacing w:line="240" w:lineRule="exact"/>
              <w:jc w:val="center"/>
              <w:rPr>
                <w:rFonts w:ascii="Times New Roman" w:hAnsi="Times New Roman"/>
                <w:color w:val="000000" w:themeColor="text1"/>
                <w:kern w:val="0"/>
                <w:sz w:val="24"/>
              </w:rPr>
            </w:pPr>
          </w:p>
        </w:tc>
      </w:tr>
      <w:tr w:rsidR="00337351" w:rsidTr="00C77307">
        <w:trPr>
          <w:cantSplit/>
          <w:trHeight w:val="454"/>
          <w:jc w:val="center"/>
        </w:trPr>
        <w:tc>
          <w:tcPr>
            <w:tcW w:w="8978" w:type="dxa"/>
            <w:gridSpan w:val="7"/>
            <w:vAlign w:val="center"/>
          </w:tcPr>
          <w:p w:rsidR="00337351" w:rsidRDefault="00337351" w:rsidP="00C77307">
            <w:pPr>
              <w:spacing w:line="240" w:lineRule="exact"/>
              <w:jc w:val="left"/>
              <w:rPr>
                <w:rFonts w:ascii="Times New Roman" w:hAnsi="Times New Roman"/>
                <w:color w:val="000000" w:themeColor="text1"/>
                <w:kern w:val="0"/>
                <w:sz w:val="18"/>
                <w:szCs w:val="18"/>
              </w:rPr>
            </w:pPr>
          </w:p>
          <w:p w:rsidR="00337351" w:rsidRDefault="00337351" w:rsidP="00C77307">
            <w:pPr>
              <w:spacing w:line="240" w:lineRule="exact"/>
              <w:jc w:val="left"/>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评价人签字：</w:t>
            </w:r>
          </w:p>
          <w:p w:rsidR="00337351" w:rsidRDefault="00337351" w:rsidP="00C77307">
            <w:pPr>
              <w:spacing w:line="240" w:lineRule="exact"/>
              <w:jc w:val="left"/>
              <w:rPr>
                <w:rFonts w:ascii="Times New Roman" w:hAnsi="Times New Roman"/>
                <w:color w:val="000000" w:themeColor="text1"/>
                <w:kern w:val="0"/>
                <w:sz w:val="18"/>
                <w:szCs w:val="18"/>
              </w:rPr>
            </w:pPr>
          </w:p>
          <w:p w:rsidR="00337351" w:rsidRDefault="00337351" w:rsidP="00C77307">
            <w:pPr>
              <w:spacing w:line="240" w:lineRule="exact"/>
              <w:jc w:val="left"/>
              <w:rPr>
                <w:rFonts w:ascii="Times New Roman" w:hAnsi="Times New Roman"/>
                <w:color w:val="000000" w:themeColor="text1"/>
                <w:kern w:val="0"/>
                <w:sz w:val="18"/>
                <w:szCs w:val="18"/>
              </w:rPr>
            </w:pPr>
          </w:p>
          <w:p w:rsidR="00337351" w:rsidRDefault="00337351" w:rsidP="00C77307">
            <w:pPr>
              <w:spacing w:line="240" w:lineRule="exact"/>
              <w:jc w:val="left"/>
              <w:rPr>
                <w:rFonts w:ascii="Times New Roman" w:hAnsi="Times New Roman"/>
                <w:color w:val="000000" w:themeColor="text1"/>
                <w:kern w:val="0"/>
                <w:sz w:val="18"/>
                <w:szCs w:val="18"/>
              </w:rPr>
            </w:pPr>
          </w:p>
          <w:p w:rsidR="00337351" w:rsidRDefault="00337351" w:rsidP="00C77307">
            <w:pPr>
              <w:spacing w:line="240" w:lineRule="exact"/>
              <w:jc w:val="left"/>
              <w:rPr>
                <w:rFonts w:ascii="Times New Roman" w:hAnsi="Times New Roman"/>
                <w:color w:val="000000" w:themeColor="text1"/>
                <w:kern w:val="0"/>
                <w:sz w:val="18"/>
                <w:szCs w:val="18"/>
              </w:rPr>
            </w:pPr>
          </w:p>
          <w:p w:rsidR="00337351" w:rsidRDefault="00337351" w:rsidP="00C77307">
            <w:pPr>
              <w:spacing w:line="240" w:lineRule="exact"/>
              <w:jc w:val="left"/>
              <w:rPr>
                <w:rFonts w:ascii="Times New Roman" w:hAnsi="Times New Roman"/>
                <w:color w:val="000000" w:themeColor="text1"/>
                <w:kern w:val="0"/>
                <w:sz w:val="18"/>
                <w:szCs w:val="18"/>
              </w:rPr>
            </w:pPr>
          </w:p>
          <w:p w:rsidR="00337351" w:rsidRDefault="00337351" w:rsidP="00C77307">
            <w:pPr>
              <w:spacing w:line="240" w:lineRule="exact"/>
              <w:jc w:val="left"/>
              <w:rPr>
                <w:rFonts w:ascii="Times New Roman" w:hAnsi="Times New Roman"/>
                <w:color w:val="000000" w:themeColor="text1"/>
                <w:kern w:val="0"/>
                <w:sz w:val="18"/>
                <w:szCs w:val="18"/>
              </w:rPr>
            </w:pPr>
          </w:p>
          <w:p w:rsidR="00337351" w:rsidRDefault="00337351" w:rsidP="00C77307">
            <w:pPr>
              <w:widowControl/>
              <w:spacing w:line="240" w:lineRule="exact"/>
              <w:jc w:val="left"/>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评价单位盖章：评价时间：年月日</w:t>
            </w:r>
          </w:p>
          <w:p w:rsidR="00337351" w:rsidRDefault="00337351" w:rsidP="00C77307">
            <w:pPr>
              <w:widowControl/>
              <w:spacing w:line="240" w:lineRule="exact"/>
              <w:jc w:val="left"/>
              <w:rPr>
                <w:rFonts w:ascii="Times New Roman" w:hAnsi="Times New Roman"/>
                <w:color w:val="000000" w:themeColor="text1"/>
                <w:kern w:val="0"/>
                <w:sz w:val="24"/>
              </w:rPr>
            </w:pPr>
          </w:p>
        </w:tc>
      </w:tr>
    </w:tbl>
    <w:p w:rsidR="005C52FE" w:rsidRPr="00337351" w:rsidRDefault="005C52FE"/>
    <w:sectPr w:rsidR="005C52FE" w:rsidRPr="00337351" w:rsidSect="005C5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7351"/>
    <w:rsid w:val="0000057F"/>
    <w:rsid w:val="00121D78"/>
    <w:rsid w:val="00297877"/>
    <w:rsid w:val="002E2970"/>
    <w:rsid w:val="00337351"/>
    <w:rsid w:val="00463C1B"/>
    <w:rsid w:val="005C52FE"/>
    <w:rsid w:val="00731858"/>
    <w:rsid w:val="007A44DB"/>
    <w:rsid w:val="00882423"/>
    <w:rsid w:val="008E0E79"/>
    <w:rsid w:val="00907261"/>
    <w:rsid w:val="00E82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51"/>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1055</Characters>
  <Application>Microsoft Office Word</Application>
  <DocSecurity>0</DocSecurity>
  <Lines>175</Lines>
  <Paragraphs>94</Paragraphs>
  <ScaleCrop>false</ScaleCrop>
  <Company>微软中国</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闫国平</dc:creator>
  <cp:lastModifiedBy>闫国平</cp:lastModifiedBy>
  <cp:revision>1</cp:revision>
  <dcterms:created xsi:type="dcterms:W3CDTF">2020-01-15T05:24:00Z</dcterms:created>
  <dcterms:modified xsi:type="dcterms:W3CDTF">2020-01-15T05:25:00Z</dcterms:modified>
</cp:coreProperties>
</file>